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ПОЯСНИТЕЛЬНАЯ ЗАПИСКА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к проекту решения Районного Совета депутатов</w:t>
      </w:r>
    </w:p>
    <w:p w:rsidR="00D6325D" w:rsidRPr="00150AB8" w:rsidRDefault="00D6325D" w:rsidP="00AA572A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Немецкого национального района Алтайского края</w:t>
      </w:r>
    </w:p>
    <w:p w:rsidR="00D6325D" w:rsidRPr="00150AB8" w:rsidRDefault="00D6325D" w:rsidP="007113F8">
      <w:pPr>
        <w:spacing w:after="0" w:line="240" w:lineRule="auto"/>
        <w:jc w:val="center"/>
        <w:rPr>
          <w:sz w:val="24"/>
          <w:szCs w:val="24"/>
        </w:rPr>
      </w:pPr>
      <w:r w:rsidRPr="00150AB8">
        <w:rPr>
          <w:sz w:val="24"/>
          <w:szCs w:val="24"/>
        </w:rPr>
        <w:t>«О</w:t>
      </w:r>
      <w:r w:rsidR="00F20112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</w:t>
      </w:r>
      <w:r w:rsidR="00EA53FB">
        <w:rPr>
          <w:sz w:val="24"/>
          <w:szCs w:val="24"/>
        </w:rPr>
        <w:t>е</w:t>
      </w:r>
      <w:r w:rsidRPr="00150AB8">
        <w:rPr>
          <w:sz w:val="24"/>
          <w:szCs w:val="24"/>
        </w:rPr>
        <w:t xml:space="preserve"> </w:t>
      </w:r>
      <w:r w:rsidR="007113F8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 на 2025 год</w:t>
      </w:r>
      <w:r w:rsidRPr="00150AB8">
        <w:rPr>
          <w:sz w:val="24"/>
          <w:szCs w:val="24"/>
        </w:rPr>
        <w:t>»</w:t>
      </w:r>
    </w:p>
    <w:p w:rsidR="00D6325D" w:rsidRPr="00150AB8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6325D" w:rsidRPr="00296BDF" w:rsidRDefault="00D6325D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 xml:space="preserve">Проект решения </w:t>
      </w:r>
      <w:r w:rsidR="00EA53FB">
        <w:rPr>
          <w:rFonts w:ascii="Times New Roman" w:hAnsi="Times New Roman"/>
          <w:b w:val="0"/>
          <w:sz w:val="24"/>
          <w:szCs w:val="24"/>
        </w:rPr>
        <w:t>Р</w:t>
      </w:r>
      <w:r w:rsidRPr="00150AB8">
        <w:rPr>
          <w:rFonts w:ascii="Times New Roman" w:hAnsi="Times New Roman"/>
          <w:b w:val="0"/>
          <w:sz w:val="24"/>
          <w:szCs w:val="24"/>
        </w:rPr>
        <w:t>айонного Совета депутатов «О</w:t>
      </w:r>
      <w:r w:rsidR="00EA53FB"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</w:t>
      </w:r>
      <w:r w:rsidR="007113F8">
        <w:rPr>
          <w:rFonts w:ascii="Times New Roman" w:hAnsi="Times New Roman"/>
          <w:b w:val="0"/>
          <w:sz w:val="24"/>
          <w:szCs w:val="24"/>
        </w:rPr>
        <w:t>муниципального образования муниципальный район Немецкий национальный район Алтайского края на 2025 год</w:t>
      </w:r>
      <w:r w:rsidRPr="00150AB8">
        <w:rPr>
          <w:rFonts w:ascii="Times New Roman" w:hAnsi="Times New Roman"/>
          <w:b w:val="0"/>
          <w:sz w:val="24"/>
          <w:szCs w:val="24"/>
        </w:rPr>
        <w:t>» подготовлен в соответствии  с требованиями федерального, краевого и районного  бюджетного законодательства, нормами, установленными</w:t>
      </w:r>
      <w:r w:rsidRPr="00150AB8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Бюджетным кодексом Российской Федерации и решением районного Совета депутатов Немецкого национального района Алтайского края </w:t>
      </w:r>
      <w:r w:rsidR="00296BDF">
        <w:rPr>
          <w:rFonts w:ascii="Times New Roman" w:hAnsi="Times New Roman"/>
          <w:b w:val="0"/>
          <w:sz w:val="24"/>
          <w:szCs w:val="24"/>
        </w:rPr>
        <w:t>«</w:t>
      </w:r>
      <w:r w:rsidR="00296BDF" w:rsidRPr="00296BDF">
        <w:rPr>
          <w:rFonts w:ascii="Times New Roman" w:hAnsi="Times New Roman"/>
          <w:b w:val="0"/>
          <w:sz w:val="24"/>
          <w:szCs w:val="24"/>
        </w:rPr>
        <w:t>Об утверждении Положения о бюджетном процессе в муниципальном образовании Немецкий национальный район Алтайского края</w:t>
      </w:r>
      <w:proofErr w:type="gramEnd"/>
      <w:r w:rsidR="00296BDF">
        <w:rPr>
          <w:rFonts w:ascii="Times New Roman" w:hAnsi="Times New Roman"/>
          <w:b w:val="0"/>
          <w:sz w:val="24"/>
          <w:szCs w:val="24"/>
        </w:rPr>
        <w:t>» №203 от 25.02.2021г.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>Предлагаемые в настоящем решении основные параметры районного бюджета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 определены в соответствии с прогнозом социально-экономического развития Немецкого национального района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год, основных направлениях бюджетной политики и налоговой политики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D6325D" w:rsidRPr="00150AB8" w:rsidRDefault="00D6325D" w:rsidP="00AA572A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 xml:space="preserve"> Пр</w:t>
      </w:r>
      <w:r w:rsidR="00EA53FB">
        <w:rPr>
          <w:rFonts w:ascii="Times New Roman" w:hAnsi="Times New Roman"/>
          <w:b w:val="0"/>
          <w:sz w:val="24"/>
          <w:szCs w:val="24"/>
        </w:rPr>
        <w:t xml:space="preserve">едлагаемые в настоящем Решении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основные характеристики районного бюджета на </w:t>
      </w:r>
      <w:r w:rsidR="002B6AF8">
        <w:rPr>
          <w:rFonts w:ascii="Times New Roman" w:hAnsi="Times New Roman"/>
          <w:b w:val="0"/>
          <w:sz w:val="24"/>
          <w:szCs w:val="24"/>
        </w:rPr>
        <w:t>202</w:t>
      </w:r>
      <w:r w:rsidR="00EA53FB">
        <w:rPr>
          <w:rFonts w:ascii="Times New Roman" w:hAnsi="Times New Roman"/>
          <w:b w:val="0"/>
          <w:sz w:val="24"/>
          <w:szCs w:val="24"/>
        </w:rPr>
        <w:t>5</w:t>
      </w:r>
      <w:r w:rsidR="002B6AF8">
        <w:rPr>
          <w:rFonts w:ascii="Times New Roman" w:hAnsi="Times New Roman"/>
          <w:b w:val="0"/>
          <w:sz w:val="24"/>
          <w:szCs w:val="24"/>
        </w:rPr>
        <w:t xml:space="preserve"> год 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характеризуются следующими данными:</w:t>
      </w:r>
    </w:p>
    <w:p w:rsidR="00D6325D" w:rsidRPr="00150AB8" w:rsidRDefault="00D6325D" w:rsidP="00AA572A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2496"/>
        <w:gridCol w:w="2126"/>
        <w:gridCol w:w="1241"/>
      </w:tblGrid>
      <w:tr w:rsidR="00D6325D" w:rsidRPr="00150AB8" w:rsidTr="00467E80">
        <w:tc>
          <w:tcPr>
            <w:tcW w:w="3708" w:type="dxa"/>
          </w:tcPr>
          <w:p w:rsidR="00D6325D" w:rsidRPr="00150AB8" w:rsidRDefault="00D6325D" w:rsidP="00AA572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D6325D" w:rsidRPr="00150AB8" w:rsidRDefault="00F21BE7" w:rsidP="00EA53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№ </w:t>
            </w:r>
            <w:r w:rsidR="00CC3371">
              <w:rPr>
                <w:sz w:val="24"/>
                <w:szCs w:val="24"/>
              </w:rPr>
              <w:t>111</w:t>
            </w:r>
            <w:r w:rsidR="00D6325D" w:rsidRPr="00150AB8">
              <w:rPr>
                <w:sz w:val="24"/>
                <w:szCs w:val="24"/>
              </w:rPr>
              <w:t xml:space="preserve"> от 2</w:t>
            </w:r>
            <w:r w:rsidR="00CC3371">
              <w:rPr>
                <w:sz w:val="24"/>
                <w:szCs w:val="24"/>
              </w:rPr>
              <w:t>8</w:t>
            </w:r>
            <w:r w:rsidR="00A53479" w:rsidRPr="00150AB8">
              <w:rPr>
                <w:sz w:val="24"/>
                <w:szCs w:val="24"/>
              </w:rPr>
              <w:t>.12.202</w:t>
            </w:r>
            <w:r w:rsidR="00CC3371">
              <w:rPr>
                <w:sz w:val="24"/>
                <w:szCs w:val="24"/>
              </w:rPr>
              <w:t>3</w:t>
            </w:r>
            <w:r w:rsidR="00D6325D" w:rsidRPr="00150AB8">
              <w:rPr>
                <w:sz w:val="24"/>
                <w:szCs w:val="24"/>
              </w:rPr>
              <w:t>г</w:t>
            </w:r>
            <w:r w:rsidR="005F55D4" w:rsidRPr="00150AB8">
              <w:rPr>
                <w:sz w:val="24"/>
                <w:szCs w:val="24"/>
              </w:rPr>
              <w:t>.</w:t>
            </w:r>
            <w:r w:rsidR="00D6325D" w:rsidRPr="00150AB8">
              <w:rPr>
                <w:sz w:val="24"/>
                <w:szCs w:val="24"/>
              </w:rPr>
              <w:t xml:space="preserve"> </w:t>
            </w:r>
            <w:r w:rsidR="005F55D4" w:rsidRPr="00150AB8">
              <w:rPr>
                <w:sz w:val="24"/>
                <w:szCs w:val="24"/>
              </w:rPr>
              <w:t>«О бюджет</w:t>
            </w:r>
            <w:r w:rsidR="00EA53FB">
              <w:rPr>
                <w:sz w:val="24"/>
                <w:szCs w:val="24"/>
              </w:rPr>
              <w:t>е</w:t>
            </w:r>
            <w:r w:rsidR="005F55D4" w:rsidRPr="00150AB8">
              <w:rPr>
                <w:sz w:val="24"/>
                <w:szCs w:val="24"/>
              </w:rPr>
              <w:t xml:space="preserve"> муниципального образования </w:t>
            </w:r>
            <w:r w:rsidR="007113F8">
              <w:rPr>
                <w:sz w:val="24"/>
                <w:szCs w:val="24"/>
              </w:rPr>
              <w:t xml:space="preserve">муниципальный район </w:t>
            </w:r>
            <w:r w:rsidR="005F55D4" w:rsidRPr="00150AB8">
              <w:rPr>
                <w:sz w:val="24"/>
                <w:szCs w:val="24"/>
              </w:rPr>
              <w:t>Немецкий национальный район Алтайского края на 202</w:t>
            </w:r>
            <w:r w:rsidR="00CC3371">
              <w:rPr>
                <w:sz w:val="24"/>
                <w:szCs w:val="24"/>
              </w:rPr>
              <w:t>4</w:t>
            </w:r>
            <w:r w:rsidR="005F55D4" w:rsidRPr="00150AB8">
              <w:rPr>
                <w:sz w:val="24"/>
                <w:szCs w:val="24"/>
              </w:rPr>
              <w:t xml:space="preserve"> го</w:t>
            </w:r>
            <w:r w:rsidR="00150AB8" w:rsidRPr="00150AB8">
              <w:rPr>
                <w:sz w:val="24"/>
                <w:szCs w:val="24"/>
              </w:rPr>
              <w:t>д»</w:t>
            </w:r>
            <w:r w:rsidR="00752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Проект</w:t>
            </w:r>
            <w:r w:rsidR="00150AB8" w:rsidRPr="00150AB8">
              <w:rPr>
                <w:sz w:val="24"/>
                <w:szCs w:val="24"/>
              </w:rPr>
              <w:t xml:space="preserve"> решения </w:t>
            </w:r>
            <w:r w:rsidR="00150AB8" w:rsidRPr="00150AB8">
              <w:rPr>
                <w:iCs/>
                <w:sz w:val="24"/>
                <w:szCs w:val="24"/>
              </w:rPr>
              <w:t>«</w:t>
            </w:r>
            <w:r w:rsidR="00150AB8" w:rsidRPr="00150AB8">
              <w:rPr>
                <w:sz w:val="24"/>
                <w:szCs w:val="24"/>
              </w:rPr>
              <w:t>О</w:t>
            </w:r>
            <w:r w:rsidR="00EA53FB">
              <w:rPr>
                <w:sz w:val="24"/>
                <w:szCs w:val="24"/>
              </w:rPr>
              <w:t xml:space="preserve"> </w:t>
            </w:r>
            <w:r w:rsidR="00150AB8" w:rsidRPr="00150AB8">
              <w:rPr>
                <w:sz w:val="24"/>
                <w:szCs w:val="24"/>
              </w:rPr>
              <w:t>бюджет</w:t>
            </w:r>
            <w:r w:rsidR="00EA53FB">
              <w:rPr>
                <w:sz w:val="24"/>
                <w:szCs w:val="24"/>
              </w:rPr>
              <w:t>е</w:t>
            </w:r>
            <w:r w:rsidR="00150AB8" w:rsidRPr="00150AB8">
              <w:rPr>
                <w:sz w:val="24"/>
                <w:szCs w:val="24"/>
              </w:rPr>
              <w:t xml:space="preserve"> </w:t>
            </w:r>
            <w:r w:rsidR="007113F8">
              <w:rPr>
                <w:sz w:val="24"/>
                <w:szCs w:val="24"/>
              </w:rPr>
              <w:t>муниципального образования муниципальный район Немецкий национальный район Алтайского края на 2025 год</w:t>
            </w:r>
            <w:r w:rsidR="00150AB8" w:rsidRPr="00150AB8">
              <w:rPr>
                <w:iCs/>
                <w:sz w:val="24"/>
                <w:szCs w:val="24"/>
              </w:rPr>
              <w:t>»</w:t>
            </w:r>
          </w:p>
          <w:p w:rsidR="00D6325D" w:rsidRPr="00150AB8" w:rsidRDefault="00D6325D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6325D" w:rsidRPr="00150AB8" w:rsidRDefault="00150AB8" w:rsidP="005F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</w:t>
            </w:r>
          </w:p>
        </w:tc>
      </w:tr>
      <w:tr w:rsidR="007D64C7" w:rsidRPr="00150AB8" w:rsidTr="0003461B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Доходы, всего (тыс. руб.) в т.ч.</w:t>
            </w:r>
          </w:p>
        </w:tc>
        <w:tc>
          <w:tcPr>
            <w:tcW w:w="2496" w:type="dxa"/>
          </w:tcPr>
          <w:p w:rsidR="007D64C7" w:rsidRPr="009C455F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9C455F" w:rsidRDefault="00000E90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727690,8</w:t>
            </w:r>
          </w:p>
        </w:tc>
        <w:tc>
          <w:tcPr>
            <w:tcW w:w="2126" w:type="dxa"/>
            <w:vAlign w:val="bottom"/>
          </w:tcPr>
          <w:p w:rsidR="007D64C7" w:rsidRPr="005C6DD3" w:rsidRDefault="002D191C" w:rsidP="000346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779626,7</w:t>
            </w:r>
          </w:p>
        </w:tc>
        <w:tc>
          <w:tcPr>
            <w:tcW w:w="1241" w:type="dxa"/>
          </w:tcPr>
          <w:p w:rsidR="007D64C7" w:rsidRPr="00150AB8" w:rsidRDefault="007D64C7" w:rsidP="007D64C7">
            <w:pPr>
              <w:spacing w:after="0" w:line="240" w:lineRule="auto"/>
              <w:rPr>
                <w:sz w:val="24"/>
                <w:szCs w:val="24"/>
              </w:rPr>
            </w:pPr>
          </w:p>
          <w:p w:rsidR="007D64C7" w:rsidRPr="00150AB8" w:rsidRDefault="00000E90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7D64C7" w:rsidRPr="00150AB8" w:rsidTr="002D191C">
        <w:trPr>
          <w:trHeight w:val="351"/>
        </w:trPr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Собственные</w:t>
            </w:r>
          </w:p>
        </w:tc>
        <w:tc>
          <w:tcPr>
            <w:tcW w:w="2496" w:type="dxa"/>
          </w:tcPr>
          <w:p w:rsidR="007D64C7" w:rsidRPr="009C455F" w:rsidRDefault="00000E90" w:rsidP="00CC3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142897,7</w:t>
            </w:r>
          </w:p>
        </w:tc>
        <w:tc>
          <w:tcPr>
            <w:tcW w:w="2126" w:type="dxa"/>
          </w:tcPr>
          <w:p w:rsidR="007D64C7" w:rsidRPr="00150AB8" w:rsidRDefault="002D191C" w:rsidP="00D71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148148,2</w:t>
            </w:r>
          </w:p>
        </w:tc>
        <w:tc>
          <w:tcPr>
            <w:tcW w:w="1241" w:type="dxa"/>
          </w:tcPr>
          <w:p w:rsidR="007D64C7" w:rsidRPr="00150AB8" w:rsidRDefault="00000E90" w:rsidP="002D19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Краевые</w:t>
            </w:r>
          </w:p>
        </w:tc>
        <w:tc>
          <w:tcPr>
            <w:tcW w:w="2496" w:type="dxa"/>
          </w:tcPr>
          <w:p w:rsidR="007D64C7" w:rsidRPr="009C455F" w:rsidRDefault="00000E90" w:rsidP="00CC3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584793,1</w:t>
            </w:r>
          </w:p>
        </w:tc>
        <w:tc>
          <w:tcPr>
            <w:tcW w:w="2126" w:type="dxa"/>
          </w:tcPr>
          <w:p w:rsidR="007D64C7" w:rsidRPr="00150AB8" w:rsidRDefault="002D191C" w:rsidP="007D64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631478,5</w:t>
            </w:r>
          </w:p>
        </w:tc>
        <w:tc>
          <w:tcPr>
            <w:tcW w:w="1241" w:type="dxa"/>
          </w:tcPr>
          <w:p w:rsidR="007D64C7" w:rsidRPr="00150AB8" w:rsidRDefault="00000E90" w:rsidP="00F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Расходы, всего (тыс. руб.) в т</w:t>
            </w:r>
            <w:proofErr w:type="gramStart"/>
            <w:r w:rsidRPr="00150AB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496" w:type="dxa"/>
          </w:tcPr>
          <w:p w:rsidR="007D64C7" w:rsidRPr="00150AB8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592470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64C7" w:rsidRPr="00700EFC" w:rsidRDefault="007D5E08" w:rsidP="00CC11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784020,3</w:t>
            </w:r>
          </w:p>
        </w:tc>
        <w:tc>
          <w:tcPr>
            <w:tcW w:w="1241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6B31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2496" w:type="dxa"/>
          </w:tcPr>
          <w:p w:rsidR="007D64C7" w:rsidRPr="00150AB8" w:rsidRDefault="00D823DC" w:rsidP="00B2572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B25725">
              <w:rPr>
                <w:sz w:val="24"/>
                <w:szCs w:val="24"/>
              </w:rPr>
              <w:t>44896</w:t>
            </w:r>
            <w:r w:rsidR="0075244C">
              <w:rPr>
                <w:sz w:val="24"/>
                <w:szCs w:val="24"/>
              </w:rPr>
              <w:t>,</w:t>
            </w:r>
            <w:r w:rsidR="00B2572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64C7" w:rsidRPr="001C3339" w:rsidRDefault="007D5E08" w:rsidP="006B31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511859,2</w:t>
            </w:r>
          </w:p>
        </w:tc>
        <w:tc>
          <w:tcPr>
            <w:tcW w:w="1241" w:type="dxa"/>
          </w:tcPr>
          <w:p w:rsidR="007D64C7" w:rsidRPr="00150AB8" w:rsidRDefault="006B3120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D5E08">
              <w:rPr>
                <w:sz w:val="24"/>
                <w:szCs w:val="24"/>
              </w:rPr>
              <w:t>48</w:t>
            </w:r>
            <w:r w:rsidR="007D64C7" w:rsidRPr="00150AB8">
              <w:rPr>
                <w:sz w:val="24"/>
                <w:szCs w:val="24"/>
              </w:rPr>
              <w:t>,</w:t>
            </w:r>
            <w:r w:rsidR="007D5E08">
              <w:rPr>
                <w:sz w:val="24"/>
                <w:szCs w:val="24"/>
              </w:rPr>
              <w:t>4</w:t>
            </w:r>
          </w:p>
        </w:tc>
      </w:tr>
      <w:tr w:rsidR="007D64C7" w:rsidRPr="00150AB8" w:rsidTr="00467E80">
        <w:tc>
          <w:tcPr>
            <w:tcW w:w="3708" w:type="dxa"/>
          </w:tcPr>
          <w:p w:rsidR="007D64C7" w:rsidRPr="00150AB8" w:rsidRDefault="007D64C7" w:rsidP="007D6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0AB8">
              <w:rPr>
                <w:sz w:val="24"/>
                <w:szCs w:val="24"/>
              </w:rPr>
              <w:t>полномочия района</w:t>
            </w:r>
          </w:p>
        </w:tc>
        <w:tc>
          <w:tcPr>
            <w:tcW w:w="2496" w:type="dxa"/>
          </w:tcPr>
          <w:p w:rsidR="007D64C7" w:rsidRPr="00CC3371" w:rsidRDefault="00B25725" w:rsidP="00B257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247573</w:t>
            </w:r>
            <w:r w:rsidR="007524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272161</w:t>
            </w:r>
            <w:r w:rsidR="001C33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D64C7" w:rsidRPr="00150AB8" w:rsidRDefault="007D5E08" w:rsidP="007D5E0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</w:t>
            </w:r>
            <w:r w:rsidR="007D64C7" w:rsidRPr="00150A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D6325D" w:rsidRPr="00150AB8" w:rsidRDefault="00D6325D" w:rsidP="00AA572A">
      <w:pPr>
        <w:pStyle w:val="a6"/>
        <w:ind w:right="0" w:firstLine="709"/>
        <w:rPr>
          <w:sz w:val="24"/>
          <w:szCs w:val="24"/>
        </w:rPr>
      </w:pPr>
      <w:r w:rsidRPr="00150AB8">
        <w:rPr>
          <w:sz w:val="24"/>
          <w:szCs w:val="24"/>
        </w:rPr>
        <w:t>Для формир</w:t>
      </w:r>
      <w:r w:rsidR="00EA53FB">
        <w:rPr>
          <w:sz w:val="24"/>
          <w:szCs w:val="24"/>
        </w:rPr>
        <w:t xml:space="preserve">ования доходной базы районного </w:t>
      </w:r>
      <w:r w:rsidRPr="00150AB8">
        <w:rPr>
          <w:sz w:val="24"/>
          <w:szCs w:val="24"/>
        </w:rPr>
        <w:t>бюджета на 202</w:t>
      </w:r>
      <w:r w:rsidR="0003461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</w:t>
      </w:r>
      <w:r w:rsidRPr="00150AB8">
        <w:rPr>
          <w:sz w:val="24"/>
          <w:szCs w:val="24"/>
        </w:rPr>
        <w:br/>
        <w:t xml:space="preserve">использовались показатели вышеуказанного прогноза, данные оценки поступлений доходов в бюджет в </w:t>
      </w:r>
      <w:r w:rsidR="00A53479" w:rsidRPr="00150AB8">
        <w:rPr>
          <w:sz w:val="24"/>
          <w:szCs w:val="24"/>
        </w:rPr>
        <w:t>202</w:t>
      </w:r>
      <w:r w:rsidR="00EA53FB">
        <w:rPr>
          <w:sz w:val="24"/>
          <w:szCs w:val="24"/>
        </w:rPr>
        <w:t>3</w:t>
      </w:r>
      <w:r w:rsidRPr="00150AB8">
        <w:rPr>
          <w:sz w:val="24"/>
          <w:szCs w:val="24"/>
        </w:rPr>
        <w:t>-202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годах.</w:t>
      </w:r>
    </w:p>
    <w:p w:rsidR="00D6325D" w:rsidRPr="00150AB8" w:rsidRDefault="00150AB8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Поступления средств районного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бюджета учтены в решении в объеме, определенном проектом закона</w:t>
      </w:r>
      <w:r w:rsidR="00D6325D" w:rsidRPr="00150AB8">
        <w:rPr>
          <w:rFonts w:ascii="Times New Roman" w:hAnsi="Times New Roman"/>
          <w:sz w:val="24"/>
          <w:szCs w:val="24"/>
        </w:rPr>
        <w:t xml:space="preserve"> </w:t>
      </w:r>
      <w:r w:rsidR="00D6325D" w:rsidRPr="00150AB8">
        <w:rPr>
          <w:rFonts w:ascii="Times New Roman" w:hAnsi="Times New Roman"/>
          <w:b w:val="0"/>
          <w:sz w:val="24"/>
          <w:szCs w:val="24"/>
        </w:rPr>
        <w:t>Алтайского края «О краевом бюджете на 202</w:t>
      </w:r>
      <w:r w:rsidR="0003461B">
        <w:rPr>
          <w:rFonts w:ascii="Times New Roman" w:hAnsi="Times New Roman"/>
          <w:b w:val="0"/>
          <w:sz w:val="24"/>
          <w:szCs w:val="24"/>
        </w:rPr>
        <w:t>5</w:t>
      </w:r>
      <w:r w:rsidR="00D6325D" w:rsidRPr="00150AB8">
        <w:rPr>
          <w:rFonts w:ascii="Times New Roman" w:hAnsi="Times New Roman"/>
          <w:b w:val="0"/>
          <w:sz w:val="24"/>
          <w:szCs w:val="24"/>
        </w:rPr>
        <w:t xml:space="preserve"> год».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Основным н</w:t>
      </w:r>
      <w:r w:rsidR="00EA53FB">
        <w:rPr>
          <w:sz w:val="24"/>
          <w:szCs w:val="24"/>
        </w:rPr>
        <w:t xml:space="preserve">аправлением расходов районного </w:t>
      </w:r>
      <w:r w:rsidRPr="00150AB8">
        <w:rPr>
          <w:sz w:val="24"/>
          <w:szCs w:val="24"/>
        </w:rPr>
        <w:t>бюджета определено исполнение законодательно установленных социальных и иных первоочередных расходных обязательств Немецко</w:t>
      </w:r>
      <w:r w:rsidR="00150AB8">
        <w:rPr>
          <w:sz w:val="24"/>
          <w:szCs w:val="24"/>
        </w:rPr>
        <w:t xml:space="preserve">го национального района. </w:t>
      </w:r>
      <w:r w:rsidRPr="00150AB8">
        <w:rPr>
          <w:sz w:val="24"/>
          <w:szCs w:val="24"/>
        </w:rPr>
        <w:t>Объем бюджетных ассигнований на 202</w:t>
      </w:r>
      <w:r w:rsidR="00CC04D4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 предусмотрен с учетом реализации  оптимизации структуры бюджетных расходов и повышения эффективности деятельности органов власти и муниципальных  учреждений. </w:t>
      </w:r>
    </w:p>
    <w:p w:rsidR="00D6325D" w:rsidRPr="00150AB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t>В соответствии с изменениями, внесенными в Бюджетный кодекс Российской Федерации федеральным законом от 22 октября 2014 года № 311-ФЗ, при составлении и исполнении бюджетов бюджетной системы Российской Федерации на 202</w:t>
      </w:r>
      <w:r w:rsidR="00CC04D4">
        <w:rPr>
          <w:color w:val="000000"/>
          <w:sz w:val="24"/>
          <w:szCs w:val="24"/>
        </w:rPr>
        <w:t>5</w:t>
      </w:r>
      <w:r w:rsidRPr="00150AB8">
        <w:rPr>
          <w:color w:val="000000"/>
          <w:sz w:val="24"/>
          <w:szCs w:val="24"/>
        </w:rPr>
        <w:t xml:space="preserve"> год используется  структура кодов бюджетной классификации (кодов классификации доходов бюджетов, кодов классификации расходов бюджетов, кодов </w:t>
      </w:r>
      <w:proofErr w:type="gramStart"/>
      <w:r w:rsidRPr="00150AB8">
        <w:rPr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50AB8">
        <w:rPr>
          <w:color w:val="000000"/>
          <w:sz w:val="24"/>
          <w:szCs w:val="24"/>
        </w:rPr>
        <w:t xml:space="preserve">). </w:t>
      </w:r>
    </w:p>
    <w:p w:rsidR="00D6325D" w:rsidRPr="00296BDF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50AB8">
        <w:rPr>
          <w:color w:val="000000"/>
          <w:sz w:val="24"/>
          <w:szCs w:val="24"/>
        </w:rPr>
        <w:lastRenderedPageBreak/>
        <w:t>Общие требования к структуре и содержанию закон</w:t>
      </w:r>
      <w:r w:rsidR="00EA53FB">
        <w:rPr>
          <w:color w:val="000000"/>
          <w:sz w:val="24"/>
          <w:szCs w:val="24"/>
        </w:rPr>
        <w:t xml:space="preserve">а о бюджете установлены статьей </w:t>
      </w:r>
      <w:r w:rsidRPr="00150AB8">
        <w:rPr>
          <w:color w:val="000000"/>
          <w:sz w:val="24"/>
          <w:szCs w:val="24"/>
        </w:rPr>
        <w:t>18</w:t>
      </w:r>
      <w:r w:rsidR="00EA53FB">
        <w:rPr>
          <w:color w:val="000000"/>
          <w:sz w:val="24"/>
          <w:szCs w:val="24"/>
        </w:rPr>
        <w:t xml:space="preserve">4.1 Бюджетного кодекса, которые </w:t>
      </w:r>
      <w:r w:rsidRPr="00150AB8">
        <w:rPr>
          <w:color w:val="000000"/>
          <w:sz w:val="24"/>
          <w:szCs w:val="24"/>
        </w:rPr>
        <w:t xml:space="preserve">применительно </w:t>
      </w:r>
      <w:r w:rsidRPr="00150AB8">
        <w:rPr>
          <w:color w:val="000000"/>
          <w:sz w:val="24"/>
          <w:szCs w:val="24"/>
          <w:highlight w:val="yellow"/>
        </w:rPr>
        <w:br/>
      </w:r>
      <w:r w:rsidRPr="00150AB8">
        <w:rPr>
          <w:color w:val="000000"/>
          <w:sz w:val="24"/>
          <w:szCs w:val="24"/>
        </w:rPr>
        <w:t>к бюджету Немецкого национального район</w:t>
      </w:r>
      <w:r w:rsidR="00150AB8">
        <w:rPr>
          <w:color w:val="000000"/>
          <w:sz w:val="24"/>
          <w:szCs w:val="24"/>
        </w:rPr>
        <w:t xml:space="preserve">а  конкретизируются статьей 11, </w:t>
      </w:r>
      <w:r w:rsidRPr="00150AB8">
        <w:rPr>
          <w:color w:val="000000"/>
          <w:sz w:val="24"/>
          <w:szCs w:val="24"/>
        </w:rPr>
        <w:t xml:space="preserve">12 Решения районного Совета депутатов  </w:t>
      </w:r>
      <w:r w:rsidRPr="00296BDF">
        <w:rPr>
          <w:sz w:val="24"/>
          <w:szCs w:val="24"/>
        </w:rPr>
        <w:t xml:space="preserve">от </w:t>
      </w:r>
      <w:r w:rsidR="00296BDF" w:rsidRPr="00296BDF">
        <w:rPr>
          <w:sz w:val="24"/>
          <w:szCs w:val="24"/>
        </w:rPr>
        <w:t>25</w:t>
      </w:r>
      <w:r w:rsidR="00150AB8" w:rsidRPr="00296BDF">
        <w:rPr>
          <w:sz w:val="24"/>
          <w:szCs w:val="24"/>
        </w:rPr>
        <w:t>.0</w:t>
      </w:r>
      <w:r w:rsidR="00296BDF" w:rsidRPr="00296BDF">
        <w:rPr>
          <w:sz w:val="24"/>
          <w:szCs w:val="24"/>
        </w:rPr>
        <w:t>2</w:t>
      </w:r>
      <w:r w:rsidR="00150AB8" w:rsidRPr="00296BDF">
        <w:rPr>
          <w:sz w:val="24"/>
          <w:szCs w:val="24"/>
        </w:rPr>
        <w:t>.20</w:t>
      </w:r>
      <w:r w:rsidR="00296BDF" w:rsidRPr="00296BDF">
        <w:rPr>
          <w:sz w:val="24"/>
          <w:szCs w:val="24"/>
        </w:rPr>
        <w:t>21</w:t>
      </w:r>
      <w:r w:rsidR="00150AB8" w:rsidRPr="00296BDF">
        <w:rPr>
          <w:sz w:val="24"/>
          <w:szCs w:val="24"/>
        </w:rPr>
        <w:t xml:space="preserve"> года №</w:t>
      </w:r>
      <w:r w:rsidR="00296BDF" w:rsidRPr="00296BDF">
        <w:rPr>
          <w:sz w:val="24"/>
          <w:szCs w:val="24"/>
        </w:rPr>
        <w:t>203</w:t>
      </w:r>
      <w:r w:rsidRPr="00296BDF">
        <w:rPr>
          <w:sz w:val="24"/>
          <w:szCs w:val="24"/>
        </w:rPr>
        <w:t xml:space="preserve">  </w:t>
      </w:r>
      <w:r w:rsidR="00296BDF" w:rsidRPr="00296BDF">
        <w:rPr>
          <w:sz w:val="24"/>
          <w:szCs w:val="24"/>
        </w:rPr>
        <w:t>«Об утверждении Положения о бюджетном процессе в муниципальном образовании Немецкий национальный район Алтайского края»</w:t>
      </w:r>
      <w:r w:rsidRPr="00296BDF">
        <w:rPr>
          <w:color w:val="000000"/>
          <w:sz w:val="24"/>
          <w:szCs w:val="24"/>
        </w:rPr>
        <w:t>.</w:t>
      </w:r>
    </w:p>
    <w:p w:rsidR="009B64D8" w:rsidRDefault="00D6325D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Учитывая общие требования к структуре и содержанию решения </w:t>
      </w:r>
      <w:r w:rsidRPr="00150AB8">
        <w:rPr>
          <w:sz w:val="24"/>
          <w:szCs w:val="24"/>
        </w:rPr>
        <w:br/>
        <w:t>о районном бюджете, в</w:t>
      </w:r>
      <w:r w:rsidRPr="00150AB8">
        <w:rPr>
          <w:i/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статье 1 утверждаются: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прогнозируемый в очередном финансовом году и планов</w:t>
      </w:r>
      <w:r w:rsidR="009B64D8">
        <w:rPr>
          <w:sz w:val="24"/>
          <w:szCs w:val="24"/>
        </w:rPr>
        <w:t xml:space="preserve">ом периоде общий объем доходов </w:t>
      </w:r>
      <w:r w:rsidRPr="00150AB8">
        <w:rPr>
          <w:sz w:val="24"/>
          <w:szCs w:val="24"/>
        </w:rPr>
        <w:t>с выделением прогнозируемого о</w:t>
      </w:r>
      <w:r w:rsidR="009B64D8">
        <w:rPr>
          <w:sz w:val="24"/>
          <w:szCs w:val="24"/>
        </w:rPr>
        <w:t xml:space="preserve">бъема межбюджетных трансфертов </w:t>
      </w:r>
      <w:r w:rsidRPr="00150AB8">
        <w:rPr>
          <w:sz w:val="24"/>
          <w:szCs w:val="24"/>
        </w:rPr>
        <w:t xml:space="preserve">из других бюджетов;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общий объем расходов бюджета; </w:t>
      </w:r>
    </w:p>
    <w:p w:rsidR="009B64D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дефицит районного бюджета; </w:t>
      </w:r>
    </w:p>
    <w:p w:rsidR="00D6325D" w:rsidRPr="00150AB8" w:rsidRDefault="00D6325D" w:rsidP="009B64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источники финансирования дефицита бюджета.</w:t>
      </w:r>
    </w:p>
    <w:p w:rsidR="00D6325D" w:rsidRPr="00150AB8" w:rsidRDefault="009C455F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</w:t>
      </w:r>
      <w:r w:rsidR="00D6325D" w:rsidRPr="00150AB8">
        <w:rPr>
          <w:sz w:val="24"/>
          <w:szCs w:val="24"/>
        </w:rPr>
        <w:t xml:space="preserve"> 2  проекта </w:t>
      </w:r>
      <w:r>
        <w:rPr>
          <w:sz w:val="24"/>
          <w:szCs w:val="24"/>
        </w:rPr>
        <w:t xml:space="preserve">решения о бюджете </w:t>
      </w:r>
      <w:r w:rsidR="00D6325D" w:rsidRPr="00150AB8">
        <w:rPr>
          <w:sz w:val="24"/>
          <w:szCs w:val="24"/>
        </w:rPr>
        <w:t>утвержда</w:t>
      </w:r>
      <w:r>
        <w:rPr>
          <w:sz w:val="24"/>
          <w:szCs w:val="24"/>
        </w:rPr>
        <w:t>ет Приложение 1 к проекту решения о бюджете, устанавливающее</w:t>
      </w:r>
      <w:r w:rsidR="00D6325D" w:rsidRPr="00150AB8">
        <w:rPr>
          <w:sz w:val="24"/>
          <w:szCs w:val="24"/>
        </w:rPr>
        <w:t xml:space="preserve"> нормативы отчислений в</w:t>
      </w:r>
      <w:r>
        <w:rPr>
          <w:sz w:val="24"/>
          <w:szCs w:val="24"/>
        </w:rPr>
        <w:t xml:space="preserve"> бюджеты муниципальных районов </w:t>
      </w:r>
      <w:r w:rsidR="00D6325D" w:rsidRPr="00150AB8">
        <w:rPr>
          <w:sz w:val="24"/>
          <w:szCs w:val="24"/>
        </w:rPr>
        <w:t>от отдельных видов доходов.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Статья 3 проекта решения</w:t>
      </w:r>
      <w:r w:rsidR="009C455F">
        <w:rPr>
          <w:sz w:val="24"/>
          <w:szCs w:val="24"/>
        </w:rPr>
        <w:t xml:space="preserve"> о бюджете</w:t>
      </w:r>
      <w:r w:rsidRPr="00150AB8">
        <w:rPr>
          <w:sz w:val="24"/>
          <w:szCs w:val="24"/>
        </w:rPr>
        <w:t xml:space="preserve">  в соответствии с требованиями пункта 3 статьи 184.1 Бюджетного к</w:t>
      </w:r>
      <w:r w:rsidR="009B64D8">
        <w:rPr>
          <w:sz w:val="24"/>
          <w:szCs w:val="24"/>
        </w:rPr>
        <w:t xml:space="preserve">одекса утверждает Приложение </w:t>
      </w:r>
      <w:r w:rsidR="00475752" w:rsidRPr="00150AB8">
        <w:rPr>
          <w:sz w:val="24"/>
          <w:szCs w:val="24"/>
        </w:rPr>
        <w:t>2 к проекту</w:t>
      </w:r>
      <w:r w:rsidR="009C455F">
        <w:rPr>
          <w:sz w:val="24"/>
          <w:szCs w:val="24"/>
        </w:rPr>
        <w:t xml:space="preserve"> решения о бюджете, устанавливающего </w:t>
      </w:r>
      <w:r w:rsidRPr="00150AB8">
        <w:rPr>
          <w:sz w:val="24"/>
          <w:szCs w:val="24"/>
        </w:rPr>
        <w:t>пе</w:t>
      </w:r>
      <w:r w:rsidR="009C455F">
        <w:rPr>
          <w:sz w:val="24"/>
          <w:szCs w:val="24"/>
        </w:rPr>
        <w:t xml:space="preserve">речень главных </w:t>
      </w:r>
      <w:proofErr w:type="gramStart"/>
      <w:r w:rsidR="009C455F">
        <w:rPr>
          <w:sz w:val="24"/>
          <w:szCs w:val="24"/>
        </w:rPr>
        <w:t xml:space="preserve">администраторов </w:t>
      </w:r>
      <w:r w:rsidRPr="00150AB8">
        <w:rPr>
          <w:sz w:val="24"/>
          <w:szCs w:val="24"/>
        </w:rPr>
        <w:t>источников финансирования дефицита районного бюджета</w:t>
      </w:r>
      <w:proofErr w:type="gramEnd"/>
      <w:r w:rsidRPr="00150AB8">
        <w:rPr>
          <w:sz w:val="24"/>
          <w:szCs w:val="24"/>
        </w:rPr>
        <w:t>.</w:t>
      </w:r>
    </w:p>
    <w:p w:rsidR="00D6325D" w:rsidRPr="00C12F15" w:rsidRDefault="009B64D8" w:rsidP="009B64D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12F15">
        <w:rPr>
          <w:sz w:val="24"/>
          <w:szCs w:val="24"/>
        </w:rPr>
        <w:t xml:space="preserve">Статьей </w:t>
      </w:r>
      <w:r w:rsidR="00D6325D" w:rsidRPr="00C12F15">
        <w:rPr>
          <w:sz w:val="24"/>
          <w:szCs w:val="24"/>
        </w:rPr>
        <w:t>4 проекта решения</w:t>
      </w:r>
      <w:r w:rsidR="009C455F">
        <w:rPr>
          <w:sz w:val="24"/>
          <w:szCs w:val="24"/>
        </w:rPr>
        <w:t xml:space="preserve"> о бюджете </w:t>
      </w:r>
      <w:r w:rsidR="00D6325D" w:rsidRPr="00C12F15">
        <w:rPr>
          <w:sz w:val="24"/>
          <w:szCs w:val="24"/>
        </w:rPr>
        <w:t>утверждаю</w:t>
      </w:r>
      <w:r w:rsidRPr="00C12F15">
        <w:rPr>
          <w:sz w:val="24"/>
          <w:szCs w:val="24"/>
        </w:rPr>
        <w:t xml:space="preserve">тся </w:t>
      </w:r>
      <w:r w:rsidR="00D6325D" w:rsidRPr="00C12F15">
        <w:rPr>
          <w:sz w:val="24"/>
          <w:szCs w:val="24"/>
        </w:rPr>
        <w:t>приложения, устанавливающие бюджетные ас</w:t>
      </w:r>
      <w:r w:rsidRPr="00C12F15">
        <w:rPr>
          <w:sz w:val="24"/>
          <w:szCs w:val="24"/>
        </w:rPr>
        <w:t xml:space="preserve">сигнования районного  бюджета  </w:t>
      </w:r>
      <w:r w:rsidR="00D6325D" w:rsidRPr="00C12F15">
        <w:rPr>
          <w:sz w:val="24"/>
          <w:szCs w:val="24"/>
        </w:rPr>
        <w:t>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  по разделам, подразделам, целевым статьям (муниц</w:t>
      </w:r>
      <w:r w:rsidR="00EA53FB">
        <w:rPr>
          <w:sz w:val="24"/>
          <w:szCs w:val="24"/>
        </w:rPr>
        <w:t xml:space="preserve">ипальным  программам и </w:t>
      </w:r>
      <w:proofErr w:type="spellStart"/>
      <w:r w:rsidR="00EA53FB">
        <w:rPr>
          <w:sz w:val="24"/>
          <w:szCs w:val="24"/>
        </w:rPr>
        <w:t>непрогра</w:t>
      </w:r>
      <w:r w:rsidR="00D6325D" w:rsidRPr="00C12F15">
        <w:rPr>
          <w:sz w:val="24"/>
          <w:szCs w:val="24"/>
        </w:rPr>
        <w:t>м</w:t>
      </w:r>
      <w:r w:rsidR="00EA53FB">
        <w:rPr>
          <w:sz w:val="24"/>
          <w:szCs w:val="24"/>
        </w:rPr>
        <w:t>м</w:t>
      </w:r>
      <w:r w:rsidR="00D6325D" w:rsidRPr="00C12F15">
        <w:rPr>
          <w:sz w:val="24"/>
          <w:szCs w:val="24"/>
        </w:rPr>
        <w:t>ным</w:t>
      </w:r>
      <w:proofErr w:type="spellEnd"/>
      <w:r w:rsidR="00D6325D" w:rsidRPr="00C12F15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</w:t>
      </w:r>
      <w:r w:rsidRPr="00C12F15">
        <w:rPr>
          <w:sz w:val="24"/>
          <w:szCs w:val="24"/>
        </w:rPr>
        <w:t xml:space="preserve">икации расходов бюджетов, </w:t>
      </w:r>
      <w:r w:rsidR="00D6325D" w:rsidRPr="00C12F15">
        <w:rPr>
          <w:sz w:val="24"/>
          <w:szCs w:val="24"/>
        </w:rPr>
        <w:t>ведомственная структура расходов, общий объем ассигнований, направляемых на исполнение публичных нормативных обязательств  в 202</w:t>
      </w:r>
      <w:r w:rsidR="00EA53FB">
        <w:rPr>
          <w:sz w:val="24"/>
          <w:szCs w:val="24"/>
        </w:rPr>
        <w:t>5</w:t>
      </w:r>
      <w:r w:rsidR="00C12F15" w:rsidRPr="00C12F15">
        <w:rPr>
          <w:sz w:val="24"/>
          <w:szCs w:val="24"/>
        </w:rPr>
        <w:t xml:space="preserve"> </w:t>
      </w:r>
      <w:r w:rsidR="00D6325D" w:rsidRPr="00C12F15">
        <w:rPr>
          <w:sz w:val="24"/>
          <w:szCs w:val="24"/>
        </w:rPr>
        <w:t>году, а также утверждается объем бюджетных ассигнований дорожного фонда Немецкого</w:t>
      </w:r>
      <w:proofErr w:type="gramEnd"/>
      <w:r w:rsidR="00D6325D" w:rsidRPr="00C12F15">
        <w:rPr>
          <w:sz w:val="24"/>
          <w:szCs w:val="24"/>
        </w:rPr>
        <w:t xml:space="preserve"> национального района  на 202</w:t>
      </w:r>
      <w:r w:rsidR="00EA53FB">
        <w:rPr>
          <w:sz w:val="24"/>
          <w:szCs w:val="24"/>
        </w:rPr>
        <w:t>5</w:t>
      </w:r>
      <w:r w:rsidR="00D6325D" w:rsidRPr="00C12F15">
        <w:rPr>
          <w:sz w:val="24"/>
          <w:szCs w:val="24"/>
        </w:rPr>
        <w:t xml:space="preserve"> год, формируе</w:t>
      </w:r>
      <w:r w:rsidRPr="00C12F15">
        <w:rPr>
          <w:sz w:val="24"/>
          <w:szCs w:val="24"/>
        </w:rPr>
        <w:t>мый</w:t>
      </w:r>
      <w:r w:rsidR="00D6325D" w:rsidRPr="00C12F15">
        <w:rPr>
          <w:sz w:val="24"/>
          <w:szCs w:val="24"/>
        </w:rPr>
        <w:t xml:space="preserve"> за счет  средств районного бюджета.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Пунктом 1 статьи 5 реализованы применительно к исполнению районного бюджета требования части 3 статьи 217 Бюджетного кодекса, которая устанавливает перечень оснований для внесения изменений в ходе исполнения бюджетов в показатели сводной бюджетной росписи. Пункт 2 определяет бюджетные ассигнования, уменьшение которых для увеличения иных бюджетных ассигнований без внесения в решение о районном бюджете не допускается.</w:t>
      </w:r>
    </w:p>
    <w:p w:rsidR="00D6325D" w:rsidRPr="00150AB8" w:rsidRDefault="00D6325D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В соответствии с принципами бюджетного </w:t>
      </w:r>
      <w:proofErr w:type="gramStart"/>
      <w:r w:rsidRPr="00150AB8">
        <w:rPr>
          <w:sz w:val="24"/>
          <w:szCs w:val="24"/>
        </w:rPr>
        <w:t>законодательства</w:t>
      </w:r>
      <w:proofErr w:type="gramEnd"/>
      <w:r w:rsidRPr="00150AB8">
        <w:rPr>
          <w:sz w:val="24"/>
          <w:szCs w:val="24"/>
        </w:rPr>
        <w:t xml:space="preserve"> предлагаемые основные направления расходов районного бюджета на 202</w:t>
      </w:r>
      <w:r w:rsidR="00EA53FB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обеспечивают исполнение принятых социальных и иных первоочередных расходных обязательств Немецкого национального района</w:t>
      </w:r>
      <w:r w:rsidR="009B64D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(</w:t>
      </w:r>
      <w:r w:rsidR="009B64D8">
        <w:rPr>
          <w:sz w:val="24"/>
          <w:szCs w:val="24"/>
        </w:rPr>
        <w:t xml:space="preserve">заработная плата </w:t>
      </w:r>
      <w:r w:rsidRPr="00150AB8">
        <w:rPr>
          <w:sz w:val="24"/>
          <w:szCs w:val="24"/>
        </w:rPr>
        <w:t>с начислени</w:t>
      </w:r>
      <w:r w:rsidR="009B64D8">
        <w:rPr>
          <w:sz w:val="24"/>
          <w:szCs w:val="24"/>
        </w:rPr>
        <w:t>ями на фонд оплаты труда</w:t>
      </w:r>
      <w:r w:rsidRPr="00150AB8">
        <w:rPr>
          <w:sz w:val="24"/>
          <w:szCs w:val="24"/>
        </w:rPr>
        <w:t>, ком</w:t>
      </w:r>
      <w:r w:rsidR="009B64D8">
        <w:rPr>
          <w:sz w:val="24"/>
          <w:szCs w:val="24"/>
        </w:rPr>
        <w:t>мунальные</w:t>
      </w:r>
      <w:r w:rsidRPr="00150AB8">
        <w:rPr>
          <w:sz w:val="24"/>
          <w:szCs w:val="24"/>
        </w:rPr>
        <w:t xml:space="preserve"> услуги</w:t>
      </w:r>
      <w:r w:rsidR="009B64D8">
        <w:rPr>
          <w:sz w:val="24"/>
          <w:szCs w:val="24"/>
        </w:rPr>
        <w:t>, приобретение угля</w:t>
      </w:r>
      <w:r w:rsidRPr="00150AB8">
        <w:rPr>
          <w:sz w:val="24"/>
          <w:szCs w:val="24"/>
        </w:rPr>
        <w:t xml:space="preserve">, </w:t>
      </w:r>
      <w:r w:rsidR="009B64D8">
        <w:rPr>
          <w:sz w:val="24"/>
          <w:szCs w:val="24"/>
        </w:rPr>
        <w:t>транспортные услуги, связанные с подвозом угля</w:t>
      </w:r>
      <w:r w:rsidRPr="00150AB8">
        <w:rPr>
          <w:sz w:val="24"/>
          <w:szCs w:val="24"/>
        </w:rPr>
        <w:t>, подвоз учащихся</w:t>
      </w:r>
      <w:r w:rsidR="009B64D8">
        <w:rPr>
          <w:sz w:val="24"/>
          <w:szCs w:val="24"/>
        </w:rPr>
        <w:t xml:space="preserve"> к месту учебы</w:t>
      </w:r>
      <w:r w:rsidRPr="00150AB8">
        <w:rPr>
          <w:sz w:val="24"/>
          <w:szCs w:val="24"/>
        </w:rPr>
        <w:t>,</w:t>
      </w:r>
      <w:r w:rsidR="009B64D8">
        <w:rPr>
          <w:sz w:val="24"/>
          <w:szCs w:val="24"/>
        </w:rPr>
        <w:t xml:space="preserve"> услуги связи</w:t>
      </w:r>
      <w:r w:rsidRPr="00150AB8">
        <w:rPr>
          <w:sz w:val="24"/>
          <w:szCs w:val="24"/>
        </w:rPr>
        <w:t>), безусловное исполнение переданных законодательно установленных обязательств.</w:t>
      </w:r>
    </w:p>
    <w:p w:rsidR="00980FBC" w:rsidRPr="00150AB8" w:rsidRDefault="00980FBC" w:rsidP="00AA57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6325D" w:rsidRPr="00150AB8" w:rsidRDefault="00D6325D" w:rsidP="0057722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b/>
          <w:sz w:val="24"/>
          <w:szCs w:val="24"/>
        </w:rPr>
        <w:t>Прогноз доходов районного бюджета.</w:t>
      </w:r>
    </w:p>
    <w:p w:rsidR="00D6325D" w:rsidRDefault="00577220" w:rsidP="00577220">
      <w:pPr>
        <w:pStyle w:val="a8"/>
        <w:tabs>
          <w:tab w:val="left" w:pos="709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соответствии со следующими документами и показателями:</w:t>
      </w:r>
    </w:p>
    <w:p w:rsidR="00D6325D" w:rsidRPr="00577220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прогноза социально-экономического развития Немецкого национального района на очередной финансовый год и плановый период;</w:t>
      </w:r>
    </w:p>
    <w:p w:rsidR="00D6325D" w:rsidRPr="007F7327" w:rsidRDefault="00D6325D" w:rsidP="00577220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577220">
        <w:rPr>
          <w:rStyle w:val="a9"/>
          <w:color w:val="000000"/>
          <w:sz w:val="24"/>
          <w:szCs w:val="24"/>
        </w:rPr>
        <w:t>основных направлений бюджетной и налоговой политики Немецкого национального района на очередной финансовый год и плановый период;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налоговых органов, органов федерального казначейства и статистической отчетности;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отчетности об исполнении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t>прогноза главных администраторов доходов районного бюджета;</w:t>
      </w:r>
    </w:p>
    <w:p w:rsidR="00D6325D" w:rsidRP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rStyle w:val="a9"/>
          <w:sz w:val="24"/>
          <w:szCs w:val="24"/>
        </w:rPr>
      </w:pPr>
      <w:r w:rsidRPr="007F7327">
        <w:rPr>
          <w:rStyle w:val="a9"/>
          <w:color w:val="000000"/>
          <w:sz w:val="24"/>
          <w:szCs w:val="24"/>
        </w:rPr>
        <w:lastRenderedPageBreak/>
        <w:t>оценки поступлений платежей в районный бюджет в текущем финансовом году</w:t>
      </w:r>
      <w:r w:rsidR="007F7327">
        <w:rPr>
          <w:rStyle w:val="a9"/>
          <w:color w:val="000000"/>
          <w:sz w:val="24"/>
          <w:szCs w:val="24"/>
        </w:rPr>
        <w:t>;</w:t>
      </w:r>
    </w:p>
    <w:p w:rsidR="007F7327" w:rsidRDefault="00D6325D" w:rsidP="007F7327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ind w:hanging="11"/>
        <w:jc w:val="both"/>
        <w:rPr>
          <w:sz w:val="24"/>
          <w:szCs w:val="24"/>
        </w:rPr>
      </w:pPr>
      <w:r w:rsidRPr="007F7327">
        <w:rPr>
          <w:sz w:val="24"/>
          <w:szCs w:val="24"/>
        </w:rPr>
        <w:t>методикой прогнозирования доходов бюджета на очередной финансовый год.</w:t>
      </w:r>
    </w:p>
    <w:p w:rsidR="00D6325D" w:rsidRPr="007F7327" w:rsidRDefault="007F7327" w:rsidP="007F7327">
      <w:pPr>
        <w:pStyle w:val="a8"/>
        <w:tabs>
          <w:tab w:val="left" w:pos="0"/>
        </w:tabs>
        <w:spacing w:after="0" w:line="240" w:lineRule="auto"/>
        <w:jc w:val="both"/>
        <w:rPr>
          <w:rStyle w:val="a9"/>
          <w:sz w:val="24"/>
          <w:szCs w:val="24"/>
        </w:rPr>
      </w:pPr>
      <w:r>
        <w:rPr>
          <w:sz w:val="24"/>
          <w:szCs w:val="24"/>
        </w:rPr>
        <w:tab/>
      </w:r>
      <w:r w:rsidR="00D6325D" w:rsidRPr="007F7327">
        <w:rPr>
          <w:rStyle w:val="a9"/>
          <w:color w:val="000000"/>
          <w:sz w:val="24"/>
          <w:szCs w:val="24"/>
        </w:rPr>
        <w:t>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Федерации.</w:t>
      </w:r>
      <w:r>
        <w:rPr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году.</w:t>
      </w:r>
    </w:p>
    <w:p w:rsidR="00467E80" w:rsidRPr="007F7327" w:rsidRDefault="00467E80" w:rsidP="00AA572A">
      <w:pPr>
        <w:pStyle w:val="a8"/>
        <w:tabs>
          <w:tab w:val="left" w:pos="540"/>
          <w:tab w:val="left" w:pos="1107"/>
        </w:tabs>
        <w:spacing w:after="0" w:line="240" w:lineRule="auto"/>
        <w:jc w:val="both"/>
        <w:rPr>
          <w:rStyle w:val="a9"/>
          <w:color w:val="000000"/>
          <w:sz w:val="24"/>
          <w:szCs w:val="24"/>
        </w:rPr>
      </w:pPr>
    </w:p>
    <w:p w:rsidR="00D6325D" w:rsidRPr="00150AB8" w:rsidRDefault="00D6325D" w:rsidP="007F7327">
      <w:pPr>
        <w:pStyle w:val="a8"/>
        <w:tabs>
          <w:tab w:val="left" w:pos="2926"/>
        </w:tabs>
        <w:spacing w:line="240" w:lineRule="auto"/>
        <w:jc w:val="center"/>
        <w:rPr>
          <w:b/>
          <w:sz w:val="24"/>
          <w:szCs w:val="24"/>
        </w:rPr>
      </w:pPr>
      <w:r w:rsidRPr="00150AB8">
        <w:rPr>
          <w:rStyle w:val="a9"/>
          <w:b/>
          <w:color w:val="000000"/>
          <w:sz w:val="24"/>
          <w:szCs w:val="24"/>
        </w:rPr>
        <w:t>Прогнозирование налоговых доходов</w:t>
      </w:r>
    </w:p>
    <w:p w:rsidR="007F7327" w:rsidRPr="007F7327" w:rsidRDefault="00D6325D" w:rsidP="007F7327">
      <w:pPr>
        <w:pStyle w:val="a8"/>
        <w:tabs>
          <w:tab w:val="left" w:pos="3135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 на доходы физических лиц</w:t>
      </w:r>
    </w:p>
    <w:p w:rsid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 поступлений налога на доходы физических лиц рассчитывается в соответствии с главой 23 части второй Налогового кодекса Российской Федерации.</w:t>
      </w:r>
      <w:r>
        <w:rPr>
          <w:color w:val="000000"/>
          <w:sz w:val="24"/>
          <w:szCs w:val="24"/>
        </w:rPr>
        <w:t xml:space="preserve"> </w:t>
      </w:r>
      <w:r w:rsidR="00D6325D" w:rsidRPr="00150AB8">
        <w:rPr>
          <w:rStyle w:val="a9"/>
          <w:color w:val="000000"/>
          <w:sz w:val="24"/>
          <w:szCs w:val="24"/>
        </w:rPr>
        <w:t>Расчет</w:t>
      </w:r>
      <w:r w:rsidR="002C1E16">
        <w:rPr>
          <w:rStyle w:val="a9"/>
          <w:color w:val="000000"/>
          <w:sz w:val="24"/>
          <w:szCs w:val="24"/>
        </w:rPr>
        <w:t xml:space="preserve"> прогноза поступлений налога на </w:t>
      </w:r>
      <w:r w:rsidR="00D6325D" w:rsidRPr="00150AB8">
        <w:rPr>
          <w:rStyle w:val="a9"/>
          <w:color w:val="000000"/>
          <w:sz w:val="24"/>
          <w:szCs w:val="24"/>
        </w:rPr>
        <w:t>доходы физических лиц в районный бюджет производится в два этапа: на первом этапе определяется сумма поступлений налога на доходы физических лиц в консолидированный бюджет (контингент налога); на второ</w:t>
      </w:r>
      <w:r>
        <w:rPr>
          <w:rStyle w:val="a9"/>
          <w:color w:val="000000"/>
          <w:sz w:val="24"/>
          <w:szCs w:val="24"/>
        </w:rPr>
        <w:t>м</w:t>
      </w:r>
      <w:r w:rsidR="00D6325D" w:rsidRPr="00150AB8">
        <w:rPr>
          <w:rStyle w:val="a9"/>
          <w:color w:val="000000"/>
          <w:sz w:val="24"/>
          <w:szCs w:val="24"/>
        </w:rPr>
        <w:t xml:space="preserve"> этапе применяется норматив отчислений от налога в районный бюджет в соответствии с Бюджетным кодексом Российской Федерации и Законами Алтайского края.</w:t>
      </w:r>
    </w:p>
    <w:p w:rsidR="00D6325D" w:rsidRPr="007F7327" w:rsidRDefault="007F7327" w:rsidP="007F7327">
      <w:pPr>
        <w:pStyle w:val="a8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прогноза используется показатель расчетного фонда заработной платы за последний отчетный год, а также показатели, характеризующие динамику макроэкономических показателей (темпы роста фонда заработной платы согласно прогнозу социально-экономического развития района).</w:t>
      </w:r>
    </w:p>
    <w:p w:rsidR="00D6325D" w:rsidRPr="00150AB8" w:rsidRDefault="007F7327" w:rsidP="00AA572A">
      <w:pPr>
        <w:pStyle w:val="a8"/>
        <w:spacing w:after="0" w:line="240" w:lineRule="auto"/>
        <w:ind w:firstLine="357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Прогнозируемая сумма налога корректируется на дополнительные поступления или выпадающие доходы, связанные с изменениями федерального и регионального законодательства, а также влиянием иных факторов.</w:t>
      </w:r>
    </w:p>
    <w:p w:rsidR="007F7327" w:rsidRDefault="007F7327" w:rsidP="007F7327">
      <w:pPr>
        <w:pStyle w:val="a8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325D" w:rsidRPr="007F7327" w:rsidRDefault="00D6325D" w:rsidP="007F7327">
      <w:pPr>
        <w:pStyle w:val="a8"/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Налог, взимаемый в связи с применением упрощенной системы налогообложения.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</w:t>
      </w:r>
      <w:r w:rsidR="00C65FF5">
        <w:rPr>
          <w:rStyle w:val="a9"/>
          <w:color w:val="000000"/>
          <w:sz w:val="24"/>
          <w:szCs w:val="24"/>
        </w:rPr>
        <w:t>ощенная система налогообложения»</w:t>
      </w:r>
      <w:r w:rsidR="00D6325D" w:rsidRPr="00150AB8">
        <w:rPr>
          <w:rStyle w:val="a9"/>
          <w:color w:val="000000"/>
          <w:sz w:val="24"/>
          <w:szCs w:val="24"/>
        </w:rPr>
        <w:t xml:space="preserve"> Налогового кодекса Российской Федерации.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Для расчета налога, взимаемого в связи с применением упрощенной системы налогообложения, используются данные о налоговой базе и начислении по налогу (отдельно по каждому виду объекта налогообложения), а также макроэкономические показатели (индекс потребительских цен на товары, работы, услуги).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Кроме того, при прогнозировании налога учитываются нормы регионального законодательства в части установления единых нормативов отчислений в местные бюджеты от налога, взимаемого в связи с применением упрощенной системы налогообложения.</w:t>
      </w:r>
    </w:p>
    <w:p w:rsidR="00D6325D" w:rsidRPr="00150AB8" w:rsidRDefault="00D6325D" w:rsidP="00AA572A">
      <w:pPr>
        <w:pStyle w:val="a8"/>
        <w:spacing w:line="240" w:lineRule="auto"/>
        <w:ind w:firstLine="360"/>
        <w:jc w:val="both"/>
        <w:rPr>
          <w:rStyle w:val="a9"/>
          <w:color w:val="000000"/>
          <w:sz w:val="24"/>
          <w:szCs w:val="24"/>
        </w:rPr>
      </w:pPr>
    </w:p>
    <w:p w:rsidR="00D6325D" w:rsidRPr="007F7327" w:rsidRDefault="00D6325D" w:rsidP="00AA572A">
      <w:pPr>
        <w:pStyle w:val="a8"/>
        <w:tabs>
          <w:tab w:val="left" w:pos="339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Единый сельскохозяйственный налог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единого сельскохозяйственного налога осуществляется в соответствие с главой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D6325D" w:rsidRPr="00150AB8" w:rsidRDefault="007F7327" w:rsidP="00AA572A">
      <w:pPr>
        <w:pStyle w:val="a8"/>
        <w:spacing w:after="0" w:line="240" w:lineRule="auto"/>
        <w:ind w:firstLine="360"/>
        <w:jc w:val="both"/>
        <w:rPr>
          <w:rStyle w:val="a9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 xml:space="preserve">Прогнозная сумма единого сельскохозяйственного налога в районный бюджет определяется методом прямого счета, который осуществляется исходя из налоговой базы, на основании данных налоговой отчетности о налоговой базе и структуре начислений по единому сельскохозяйственному налогу (форма №5-ЕСХН) за отчетный период. </w:t>
      </w:r>
    </w:p>
    <w:p w:rsidR="00D6325D" w:rsidRPr="00150AB8" w:rsidRDefault="00D6325D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7F7327" w:rsidRDefault="00475752" w:rsidP="007F7327">
      <w:pPr>
        <w:pStyle w:val="a8"/>
        <w:spacing w:after="0" w:line="240" w:lineRule="auto"/>
        <w:ind w:firstLine="360"/>
        <w:jc w:val="center"/>
        <w:rPr>
          <w:i/>
          <w:sz w:val="24"/>
          <w:szCs w:val="24"/>
        </w:rPr>
      </w:pPr>
      <w:r w:rsidRPr="007F7327">
        <w:rPr>
          <w:i/>
          <w:sz w:val="24"/>
          <w:szCs w:val="24"/>
        </w:rPr>
        <w:t>Налог, взимаемый в связи с применением</w:t>
      </w:r>
      <w:r w:rsidR="007F7327" w:rsidRPr="007F7327">
        <w:rPr>
          <w:i/>
          <w:sz w:val="24"/>
          <w:szCs w:val="24"/>
        </w:rPr>
        <w:t xml:space="preserve"> </w:t>
      </w:r>
      <w:r w:rsidRPr="007F7327">
        <w:rPr>
          <w:i/>
          <w:sz w:val="24"/>
          <w:szCs w:val="24"/>
        </w:rPr>
        <w:t>патентной системы налогообложения</w:t>
      </w:r>
    </w:p>
    <w:p w:rsidR="00475752" w:rsidRPr="00150AB8" w:rsidRDefault="00475752" w:rsidP="00AA572A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</w:p>
    <w:p w:rsidR="00475752" w:rsidRPr="00150AB8" w:rsidRDefault="007F7327" w:rsidP="00475752">
      <w:pPr>
        <w:pStyle w:val="a8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475752" w:rsidRPr="00150AB8">
        <w:rPr>
          <w:rStyle w:val="a9"/>
          <w:color w:val="000000"/>
          <w:sz w:val="24"/>
          <w:szCs w:val="24"/>
        </w:rPr>
        <w:t>Прогнозирование</w:t>
      </w:r>
      <w:r w:rsidR="00475752" w:rsidRPr="00150AB8">
        <w:rPr>
          <w:sz w:val="24"/>
          <w:szCs w:val="24"/>
        </w:rPr>
        <w:t xml:space="preserve"> </w:t>
      </w:r>
      <w:proofErr w:type="gramStart"/>
      <w:r w:rsidR="00475752" w:rsidRPr="00150AB8">
        <w:rPr>
          <w:sz w:val="24"/>
          <w:szCs w:val="24"/>
        </w:rPr>
        <w:t>налога, взи</w:t>
      </w:r>
      <w:r>
        <w:rPr>
          <w:sz w:val="24"/>
          <w:szCs w:val="24"/>
        </w:rPr>
        <w:t xml:space="preserve">маемого в связи с применением </w:t>
      </w:r>
      <w:r w:rsidR="00475752" w:rsidRPr="00150AB8">
        <w:rPr>
          <w:sz w:val="24"/>
          <w:szCs w:val="24"/>
        </w:rPr>
        <w:t xml:space="preserve">патентной системы налогообложения </w:t>
      </w:r>
      <w:r w:rsidR="00475752" w:rsidRPr="00150AB8">
        <w:rPr>
          <w:rStyle w:val="a9"/>
          <w:color w:val="000000"/>
          <w:sz w:val="24"/>
          <w:szCs w:val="24"/>
        </w:rPr>
        <w:t>осуществляется</w:t>
      </w:r>
      <w:proofErr w:type="gramEnd"/>
      <w:r w:rsidR="00475752" w:rsidRPr="00150AB8">
        <w:rPr>
          <w:rStyle w:val="a9"/>
          <w:color w:val="000000"/>
          <w:sz w:val="24"/>
          <w:szCs w:val="24"/>
        </w:rPr>
        <w:t xml:space="preserve"> в соответствие с главой 26.</w:t>
      </w:r>
      <w:r w:rsidR="004122B3" w:rsidRPr="00150AB8">
        <w:rPr>
          <w:rStyle w:val="a9"/>
          <w:color w:val="000000"/>
          <w:sz w:val="24"/>
          <w:szCs w:val="24"/>
        </w:rPr>
        <w:t>5</w:t>
      </w:r>
      <w:r>
        <w:rPr>
          <w:rStyle w:val="a9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122B3" w:rsidRPr="00150AB8">
        <w:rPr>
          <w:sz w:val="24"/>
          <w:szCs w:val="24"/>
        </w:rPr>
        <w:t xml:space="preserve">Патентная система налогообложения» </w:t>
      </w:r>
      <w:r w:rsidR="00475752" w:rsidRPr="00150AB8">
        <w:rPr>
          <w:rStyle w:val="a9"/>
          <w:color w:val="000000"/>
          <w:sz w:val="24"/>
          <w:szCs w:val="24"/>
        </w:rPr>
        <w:t>Налогового кодекса Российской Федерации на основе отчетных данных о фактических поступлениях налога в отчетном году, используемых для расчета ожидаемых поступлений в текущем году, и приводимых к условиям прогнозируемого года.</w:t>
      </w:r>
    </w:p>
    <w:p w:rsidR="00CC04D4" w:rsidRDefault="00CC04D4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</w:p>
    <w:p w:rsidR="00D6325D" w:rsidRPr="007F7327" w:rsidRDefault="00D6325D" w:rsidP="007F7327">
      <w:pPr>
        <w:pStyle w:val="a8"/>
        <w:tabs>
          <w:tab w:val="left" w:pos="3614"/>
        </w:tabs>
        <w:spacing w:line="240" w:lineRule="auto"/>
        <w:jc w:val="center"/>
        <w:rPr>
          <w:rStyle w:val="a9"/>
          <w:i/>
          <w:color w:val="000000"/>
          <w:sz w:val="24"/>
          <w:szCs w:val="24"/>
        </w:rPr>
      </w:pPr>
      <w:r w:rsidRPr="007F7327">
        <w:rPr>
          <w:rStyle w:val="a9"/>
          <w:i/>
          <w:color w:val="000000"/>
          <w:sz w:val="24"/>
          <w:szCs w:val="24"/>
        </w:rPr>
        <w:t>Государственная пошлина</w:t>
      </w:r>
    </w:p>
    <w:p w:rsidR="00D6325D" w:rsidRPr="00150AB8" w:rsidRDefault="007F7327" w:rsidP="00AA572A">
      <w:pPr>
        <w:pStyle w:val="a8"/>
        <w:spacing w:line="240" w:lineRule="auto"/>
        <w:ind w:firstLine="360"/>
        <w:jc w:val="both"/>
        <w:rPr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ab/>
      </w:r>
      <w:r w:rsidR="00D6325D" w:rsidRPr="00150AB8">
        <w:rPr>
          <w:rStyle w:val="a9"/>
          <w:color w:val="000000"/>
          <w:sz w:val="24"/>
          <w:szCs w:val="24"/>
        </w:rPr>
        <w:t>Прогнозирование поступлений в районный бюджет государственной пошлины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Расчет доходов от уплаты акцизов на нефтепродукты осуществляется главным администратором указанных доходов – Управлением Федерально</w:t>
      </w:r>
      <w:r w:rsidR="00CC04D4">
        <w:rPr>
          <w:sz w:val="24"/>
          <w:szCs w:val="24"/>
        </w:rPr>
        <w:t>й налоговой службы по Алтайскому краю</w:t>
      </w:r>
      <w:r w:rsidRPr="00150AB8">
        <w:rPr>
          <w:sz w:val="24"/>
          <w:szCs w:val="24"/>
        </w:rPr>
        <w:t>.</w:t>
      </w:r>
    </w:p>
    <w:p w:rsidR="00D6325D" w:rsidRPr="00150AB8" w:rsidRDefault="00D6325D" w:rsidP="00AA57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50AB8">
        <w:rPr>
          <w:color w:val="000000"/>
          <w:sz w:val="24"/>
          <w:szCs w:val="24"/>
        </w:rPr>
        <w:t xml:space="preserve">Для обеспечения качества и надежности прогнозирования доходной части бюджета района основой для расчета является </w:t>
      </w:r>
      <w:r w:rsidRPr="00150AB8">
        <w:rPr>
          <w:sz w:val="24"/>
          <w:szCs w:val="24"/>
        </w:rPr>
        <w:t xml:space="preserve">определение налоговой базы и структуры начислений </w:t>
      </w:r>
      <w:r w:rsidRPr="00150AB8">
        <w:rPr>
          <w:color w:val="000000"/>
          <w:sz w:val="24"/>
          <w:szCs w:val="24"/>
        </w:rPr>
        <w:t>каждого доходного источника</w:t>
      </w:r>
      <w:r w:rsidRPr="00150AB8">
        <w:rPr>
          <w:sz w:val="24"/>
          <w:szCs w:val="24"/>
        </w:rPr>
        <w:t>, мониторинга динамики их поступления, оценки потерь районного бюджета вследствие предоставления налоговых льгот, определения задолженности по налоговым платежам. Также учитывается изменение налоговых ставок и порядка взимания налогов и сборов, увеличение (сокращение) количества и</w:t>
      </w:r>
      <w:r w:rsidR="00D21D49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структуры налогоплательщиков, размер нормативов отчислений в</w:t>
      </w:r>
      <w:r w:rsidRPr="00150AB8">
        <w:rPr>
          <w:sz w:val="24"/>
          <w:szCs w:val="24"/>
          <w:lang w:val="en-US"/>
        </w:rPr>
        <w:t> </w:t>
      </w:r>
      <w:r w:rsidRPr="00150AB8">
        <w:rPr>
          <w:sz w:val="24"/>
          <w:szCs w:val="24"/>
        </w:rPr>
        <w:t>соответствии с федеральным и региональным законодательством.</w:t>
      </w:r>
    </w:p>
    <w:tbl>
      <w:tblPr>
        <w:tblW w:w="4715" w:type="pct"/>
        <w:jc w:val="center"/>
        <w:tblInd w:w="-378" w:type="dxa"/>
        <w:tblLayout w:type="fixed"/>
        <w:tblLook w:val="0000"/>
      </w:tblPr>
      <w:tblGrid>
        <w:gridCol w:w="2221"/>
        <w:gridCol w:w="1842"/>
        <w:gridCol w:w="1560"/>
        <w:gridCol w:w="1701"/>
        <w:gridCol w:w="1701"/>
      </w:tblGrid>
      <w:tr w:rsidR="00D21D49" w:rsidRPr="00150AB8" w:rsidTr="00D21D49">
        <w:trPr>
          <w:trHeight w:val="117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Фактическое поступление  за 202</w:t>
            </w:r>
            <w:r>
              <w:rPr>
                <w:sz w:val="24"/>
                <w:szCs w:val="24"/>
              </w:rPr>
              <w:t>3</w:t>
            </w:r>
            <w:r w:rsidRPr="00296BDF">
              <w:rPr>
                <w:sz w:val="24"/>
                <w:szCs w:val="24"/>
              </w:rPr>
              <w:t>г.</w:t>
            </w:r>
          </w:p>
          <w:p w:rsidR="00D21D49" w:rsidRPr="00296BD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296BD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</w:t>
            </w:r>
            <w:r w:rsidRPr="00296BDF">
              <w:rPr>
                <w:sz w:val="24"/>
                <w:szCs w:val="24"/>
              </w:rPr>
              <w:t>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Оценка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 xml:space="preserve"> г.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8A1F4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8A1F4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поступлений в 2025 г.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Темп роста поступлений</w:t>
            </w:r>
          </w:p>
          <w:p w:rsidR="00D21D49" w:rsidRPr="008A1F4F" w:rsidRDefault="00D21D49" w:rsidP="001556C7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%</w:t>
            </w:r>
          </w:p>
          <w:p w:rsidR="00D21D49" w:rsidRPr="008A1F4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 w:rsidRPr="008A1F4F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8A1F4F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8A1F4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D21D49">
        <w:trPr>
          <w:trHeight w:val="553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доходы физических лиц</w:t>
            </w:r>
            <w:r w:rsidRPr="00150AB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98754,0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103,8</w:t>
            </w:r>
          </w:p>
        </w:tc>
      </w:tr>
      <w:tr w:rsidR="00D21D49" w:rsidRPr="002E154E" w:rsidTr="00D21D49">
        <w:trPr>
          <w:trHeight w:val="1067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372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53,0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111,2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Гос</w:t>
            </w:r>
            <w:r>
              <w:rPr>
                <w:bCs/>
                <w:sz w:val="24"/>
                <w:szCs w:val="24"/>
              </w:rPr>
              <w:t xml:space="preserve">ударственная </w:t>
            </w:r>
            <w:r w:rsidRPr="002E154E">
              <w:rPr>
                <w:bCs/>
                <w:sz w:val="24"/>
                <w:szCs w:val="24"/>
              </w:rPr>
              <w:t>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9673E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673EB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9673EB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125,9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2E154E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Cs/>
                <w:sz w:val="24"/>
                <w:szCs w:val="24"/>
              </w:rPr>
            </w:pPr>
            <w:r w:rsidRPr="002E154E">
              <w:rPr>
                <w:bCs/>
                <w:sz w:val="24"/>
                <w:szCs w:val="24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8767,4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</w:tr>
      <w:tr w:rsidR="00D21D49" w:rsidRPr="00150AB8" w:rsidTr="00D21D49">
        <w:trPr>
          <w:trHeight w:val="285"/>
          <w:jc w:val="center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2E154E" w:rsidRDefault="00D21D49" w:rsidP="00B871E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E154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B3727E" w:rsidRDefault="00B3727E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104371,7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B871E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122168,8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8C454F" w:rsidRDefault="008C454F" w:rsidP="009673E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  <w:r w:rsidR="009673EB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39A0" w:rsidRDefault="00FC39A0" w:rsidP="009673E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</w:t>
            </w:r>
            <w:r w:rsidR="009673EB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D6325D" w:rsidRDefault="00D6325D" w:rsidP="00FC39A0">
      <w:pPr>
        <w:spacing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             В состав прогнозируемых главным администратором неналоговых доходов бюджета, по которым составляются расчеты, включаются следующие доходы: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автономных учреждений)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bCs/>
          <w:sz w:val="24"/>
          <w:szCs w:val="24"/>
        </w:rPr>
        <w:t>п</w:t>
      </w:r>
      <w:r w:rsidRPr="00F27AA9">
        <w:rPr>
          <w:rStyle w:val="a9"/>
          <w:sz w:val="24"/>
          <w:szCs w:val="24"/>
        </w:rPr>
        <w:t>лата за негативное воздействие на окружающую среду</w:t>
      </w:r>
      <w:r w:rsidR="00F27AA9">
        <w:rPr>
          <w:rStyle w:val="a9"/>
          <w:sz w:val="24"/>
          <w:szCs w:val="24"/>
        </w:rPr>
        <w:t>;</w:t>
      </w:r>
    </w:p>
    <w:p w:rsidR="00D6325D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rStyle w:val="a9"/>
          <w:sz w:val="24"/>
          <w:szCs w:val="24"/>
          <w:lang w:eastAsia="ru-RU"/>
        </w:rPr>
      </w:pPr>
      <w:r w:rsidRPr="00F27AA9">
        <w:rPr>
          <w:rStyle w:val="a9"/>
          <w:sz w:val="24"/>
          <w:szCs w:val="24"/>
        </w:rPr>
        <w:t>доходы от продажи материальных и нематериальных активов</w:t>
      </w:r>
      <w:r w:rsidR="00F27AA9">
        <w:rPr>
          <w:rStyle w:val="a9"/>
          <w:sz w:val="24"/>
          <w:szCs w:val="24"/>
        </w:rPr>
        <w:t>;</w:t>
      </w:r>
    </w:p>
    <w:p w:rsidR="00D6325D" w:rsidRPr="00F27AA9" w:rsidRDefault="00D6325D" w:rsidP="000A3BB5">
      <w:pPr>
        <w:pStyle w:val="ConsPlusNormal"/>
        <w:numPr>
          <w:ilvl w:val="0"/>
          <w:numId w:val="15"/>
        </w:numPr>
        <w:ind w:left="993" w:hanging="284"/>
        <w:jc w:val="both"/>
        <w:rPr>
          <w:sz w:val="24"/>
          <w:szCs w:val="24"/>
        </w:rPr>
      </w:pPr>
      <w:r w:rsidRPr="00F27AA9">
        <w:rPr>
          <w:bCs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муниципальных районов</w:t>
      </w:r>
      <w:r w:rsidR="00F27AA9">
        <w:rPr>
          <w:bCs/>
          <w:sz w:val="24"/>
          <w:szCs w:val="24"/>
        </w:rPr>
        <w:t>.</w:t>
      </w:r>
    </w:p>
    <w:p w:rsidR="00FF1CD7" w:rsidRDefault="00FF1CD7" w:rsidP="00FF1CD7">
      <w:pPr>
        <w:spacing w:line="240" w:lineRule="auto"/>
        <w:jc w:val="center"/>
        <w:rPr>
          <w:b/>
          <w:sz w:val="24"/>
          <w:szCs w:val="24"/>
        </w:rPr>
      </w:pPr>
    </w:p>
    <w:p w:rsidR="00D6325D" w:rsidRDefault="00F27AA9" w:rsidP="00FF1CD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Прогнозирование н</w:t>
      </w:r>
      <w:r w:rsidR="00D6325D" w:rsidRPr="00150AB8">
        <w:rPr>
          <w:b/>
          <w:sz w:val="24"/>
          <w:szCs w:val="24"/>
        </w:rPr>
        <w:t>еналоговы</w:t>
      </w:r>
      <w:r>
        <w:rPr>
          <w:b/>
          <w:sz w:val="24"/>
          <w:szCs w:val="24"/>
        </w:rPr>
        <w:t>х доходов</w:t>
      </w:r>
    </w:p>
    <w:tbl>
      <w:tblPr>
        <w:tblW w:w="9518" w:type="dxa"/>
        <w:tblInd w:w="88" w:type="dxa"/>
        <w:tblLayout w:type="fixed"/>
        <w:tblLook w:val="0000"/>
      </w:tblPr>
      <w:tblGrid>
        <w:gridCol w:w="3281"/>
        <w:gridCol w:w="1697"/>
        <w:gridCol w:w="1536"/>
        <w:gridCol w:w="1303"/>
        <w:gridCol w:w="1701"/>
      </w:tblGrid>
      <w:tr w:rsidR="00D21D49" w:rsidRPr="00150AB8" w:rsidTr="00196149">
        <w:trPr>
          <w:trHeight w:val="92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bookmarkStart w:id="0" w:name="_Hlk119588113"/>
            <w:r w:rsidRPr="00F27A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F27AA9">
              <w:rPr>
                <w:sz w:val="24"/>
                <w:szCs w:val="24"/>
              </w:rPr>
              <w:t>Фактическое поступление  за 20</w:t>
            </w:r>
            <w:r>
              <w:rPr>
                <w:sz w:val="24"/>
                <w:szCs w:val="24"/>
              </w:rPr>
              <w:t>2</w:t>
            </w:r>
            <w:r w:rsidR="00FC39A0">
              <w:rPr>
                <w:sz w:val="24"/>
                <w:szCs w:val="24"/>
              </w:rPr>
              <w:t>3</w:t>
            </w:r>
            <w:r w:rsidRPr="00F27AA9">
              <w:rPr>
                <w:sz w:val="24"/>
                <w:szCs w:val="24"/>
              </w:rPr>
              <w:t>г.</w:t>
            </w:r>
          </w:p>
          <w:p w:rsidR="00D21D49" w:rsidRPr="00F27AA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Pr="00F27AA9">
              <w:rPr>
                <w:sz w:val="24"/>
                <w:szCs w:val="24"/>
              </w:rPr>
              <w:t>ыс. руб.)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Оценка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(тыс.</w:t>
            </w:r>
            <w:r>
              <w:rPr>
                <w:sz w:val="24"/>
                <w:szCs w:val="24"/>
              </w:rPr>
              <w:t xml:space="preserve"> </w:t>
            </w:r>
            <w:r w:rsidRPr="003F213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F213F">
              <w:rPr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</w:t>
            </w:r>
          </w:p>
          <w:p w:rsidR="00D21D49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202</w:t>
            </w:r>
            <w:r w:rsidR="00FC39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D21D49" w:rsidRPr="003F213F" w:rsidRDefault="00D21D49" w:rsidP="00D21D4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Темп роста поступлений</w:t>
            </w:r>
          </w:p>
          <w:p w:rsidR="00D21D49" w:rsidRPr="003F213F" w:rsidRDefault="00D21D49" w:rsidP="00417276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%</w:t>
            </w:r>
          </w:p>
          <w:p w:rsidR="00D21D49" w:rsidRPr="003F213F" w:rsidRDefault="00D21D49" w:rsidP="00FC39A0">
            <w:pPr>
              <w:pStyle w:val="ae"/>
              <w:jc w:val="center"/>
              <w:rPr>
                <w:sz w:val="24"/>
                <w:szCs w:val="24"/>
              </w:rPr>
            </w:pPr>
            <w:r w:rsidRPr="003F213F">
              <w:rPr>
                <w:sz w:val="24"/>
                <w:szCs w:val="24"/>
              </w:rPr>
              <w:t>(202</w:t>
            </w:r>
            <w:r w:rsidR="00FC39A0">
              <w:rPr>
                <w:sz w:val="24"/>
                <w:szCs w:val="24"/>
              </w:rPr>
              <w:t>5</w:t>
            </w:r>
            <w:r w:rsidRPr="003F213F">
              <w:rPr>
                <w:sz w:val="24"/>
                <w:szCs w:val="24"/>
              </w:rPr>
              <w:t>/202</w:t>
            </w:r>
            <w:r w:rsidR="00FC39A0">
              <w:rPr>
                <w:sz w:val="24"/>
                <w:szCs w:val="24"/>
              </w:rPr>
              <w:t>4</w:t>
            </w:r>
            <w:r w:rsidRPr="003F213F">
              <w:rPr>
                <w:sz w:val="24"/>
                <w:szCs w:val="24"/>
              </w:rPr>
              <w:t>г.)</w:t>
            </w:r>
          </w:p>
        </w:tc>
      </w:tr>
      <w:tr w:rsidR="00D21D49" w:rsidRPr="00150AB8" w:rsidTr="00196149">
        <w:trPr>
          <w:trHeight w:val="85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земель с</w:t>
            </w:r>
            <w:r>
              <w:rPr>
                <w:bCs/>
                <w:sz w:val="24"/>
                <w:szCs w:val="24"/>
              </w:rPr>
              <w:t>ельскохозяйственного</w:t>
            </w:r>
            <w:r w:rsidRPr="00150AB8">
              <w:rPr>
                <w:bCs/>
                <w:sz w:val="24"/>
                <w:szCs w:val="24"/>
              </w:rPr>
              <w:t xml:space="preserve"> назначения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15844,7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96,5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Продажа имущества и земельных участков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Штрафы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512,2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FC39A0" w:rsidRDefault="00FC39A0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104,6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Платные услуги (компенсация затрат)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C141D6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21D49" w:rsidRPr="00150AB8" w:rsidTr="00196149">
        <w:trPr>
          <w:trHeight w:val="302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D21D49" w:rsidP="0019614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50AB8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FC7F82" w:rsidRDefault="00FC7F82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49" w:rsidRPr="00417276" w:rsidRDefault="0097681B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50AB8" w:rsidRDefault="00562A22" w:rsidP="00B23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D21D49" w:rsidRPr="00150AB8" w:rsidTr="00196149">
        <w:trPr>
          <w:trHeight w:val="287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D21D49" w:rsidP="001961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3BB5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562A22" w:rsidRDefault="00562A22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25797,2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1C17DB" w:rsidRDefault="001C17DB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25868,0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D49" w:rsidRPr="00417276" w:rsidRDefault="0097681B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49" w:rsidRPr="000A3BB5" w:rsidRDefault="00562A22" w:rsidP="00B23D0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91,4</w:t>
            </w:r>
          </w:p>
        </w:tc>
      </w:tr>
    </w:tbl>
    <w:bookmarkEnd w:id="0"/>
    <w:p w:rsidR="00D6325D" w:rsidRDefault="00417276" w:rsidP="00D21D4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6325D" w:rsidRPr="00150AB8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</w:t>
      </w:r>
      <w:r w:rsidRPr="000A3BB5">
        <w:rPr>
          <w:sz w:val="24"/>
          <w:szCs w:val="24"/>
        </w:rPr>
        <w:t xml:space="preserve">рочие доходы от компенсации затрат </w:t>
      </w:r>
      <w:r w:rsidRPr="000A3BB5">
        <w:rPr>
          <w:bCs/>
          <w:sz w:val="24"/>
          <w:szCs w:val="24"/>
        </w:rPr>
        <w:t>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д</w:t>
      </w:r>
      <w:r w:rsidR="00FE1255">
        <w:rPr>
          <w:bCs/>
          <w:snapToGrid w:val="0"/>
          <w:sz w:val="24"/>
          <w:szCs w:val="24"/>
        </w:rPr>
        <w:t xml:space="preserve">оходы от реализации имущества, находящегося  </w:t>
      </w:r>
      <w:r w:rsidRPr="000A3BB5">
        <w:rPr>
          <w:bCs/>
          <w:snapToGrid w:val="0"/>
          <w:sz w:val="24"/>
          <w:szCs w:val="24"/>
        </w:rPr>
        <w:t>в опе</w:t>
      </w:r>
      <w:r w:rsidR="00FE1255">
        <w:rPr>
          <w:bCs/>
          <w:snapToGrid w:val="0"/>
          <w:sz w:val="24"/>
          <w:szCs w:val="24"/>
        </w:rPr>
        <w:t xml:space="preserve">ративном управлении учреждений, находящихся </w:t>
      </w:r>
      <w:r w:rsidRPr="000A3BB5">
        <w:rPr>
          <w:bCs/>
          <w:snapToGrid w:val="0"/>
          <w:sz w:val="24"/>
          <w:szCs w:val="24"/>
        </w:rPr>
        <w:t>в ведении</w:t>
      </w:r>
      <w:r w:rsidR="00FE1255">
        <w:rPr>
          <w:bCs/>
          <w:snapToGrid w:val="0"/>
          <w:sz w:val="24"/>
          <w:szCs w:val="24"/>
        </w:rPr>
        <w:t xml:space="preserve"> органов государственной власти </w:t>
      </w:r>
      <w:r w:rsidRPr="000A3BB5">
        <w:rPr>
          <w:bCs/>
          <w:snapToGrid w:val="0"/>
          <w:sz w:val="24"/>
          <w:szCs w:val="24"/>
        </w:rPr>
        <w:t xml:space="preserve">муниципальных районов (за исключением имущества бюджетных и автономных учреждений муниципальных районов),  в части реализации основных </w:t>
      </w:r>
      <w:r w:rsidR="000A3BB5">
        <w:rPr>
          <w:bCs/>
          <w:snapToGrid w:val="0"/>
          <w:sz w:val="24"/>
          <w:szCs w:val="24"/>
        </w:rPr>
        <w:t>средств по указанному имуществу;</w:t>
      </w:r>
    </w:p>
    <w:p w:rsidR="00D6325D" w:rsidRDefault="000A3BB5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6325D" w:rsidRPr="000A3BB5">
        <w:rPr>
          <w:sz w:val="24"/>
          <w:szCs w:val="24"/>
        </w:rPr>
        <w:t>оходы</w:t>
      </w:r>
      <w:r>
        <w:rPr>
          <w:sz w:val="24"/>
          <w:szCs w:val="24"/>
        </w:rPr>
        <w:t>,</w:t>
      </w:r>
      <w:r w:rsidR="00D6325D" w:rsidRPr="000A3BB5">
        <w:rPr>
          <w:sz w:val="24"/>
          <w:szCs w:val="24"/>
        </w:rPr>
        <w:t xml:space="preserve"> имею</w:t>
      </w:r>
      <w:r>
        <w:rPr>
          <w:sz w:val="24"/>
          <w:szCs w:val="24"/>
        </w:rPr>
        <w:t>щие</w:t>
      </w:r>
      <w:r w:rsidR="00D6325D" w:rsidRPr="000A3BB5">
        <w:rPr>
          <w:sz w:val="24"/>
          <w:szCs w:val="24"/>
        </w:rPr>
        <w:t xml:space="preserve"> несистемный характер поступлений;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D6325D" w:rsidRPr="000A3BB5" w:rsidRDefault="00D6325D" w:rsidP="000A3BB5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0A3BB5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D6325D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D6325D" w:rsidRPr="00150AB8" w:rsidRDefault="007B5C6C" w:rsidP="00AA572A">
      <w:pPr>
        <w:pStyle w:val="ConsPlusNormal"/>
        <w:ind w:firstLine="709"/>
        <w:jc w:val="both"/>
        <w:rPr>
          <w:sz w:val="24"/>
          <w:szCs w:val="24"/>
        </w:rPr>
      </w:pPr>
      <w:r w:rsidRPr="007B5C6C">
        <w:rPr>
          <w:sz w:val="24"/>
          <w:szCs w:val="24"/>
        </w:rPr>
        <w:t>В 202</w:t>
      </w:r>
      <w:r w:rsidR="00562A22">
        <w:rPr>
          <w:sz w:val="24"/>
          <w:szCs w:val="24"/>
        </w:rPr>
        <w:t>4</w:t>
      </w:r>
      <w:r w:rsidRPr="007B5C6C">
        <w:rPr>
          <w:sz w:val="24"/>
          <w:szCs w:val="24"/>
        </w:rPr>
        <w:t xml:space="preserve"> году наблюдается увеличение доходов от продажи</w:t>
      </w:r>
      <w:r w:rsidR="000B67D3" w:rsidRPr="007B5C6C">
        <w:rPr>
          <w:sz w:val="24"/>
          <w:szCs w:val="24"/>
        </w:rPr>
        <w:t xml:space="preserve"> имущества и земельных</w:t>
      </w:r>
      <w:r w:rsidRPr="007B5C6C">
        <w:rPr>
          <w:sz w:val="24"/>
          <w:szCs w:val="24"/>
        </w:rPr>
        <w:t xml:space="preserve"> участков, </w:t>
      </w:r>
      <w:r w:rsidR="000B67D3" w:rsidRPr="007B5C6C">
        <w:rPr>
          <w:sz w:val="24"/>
          <w:szCs w:val="24"/>
        </w:rPr>
        <w:t>за счет возмещения за мун</w:t>
      </w:r>
      <w:r w:rsidR="00FE1255" w:rsidRPr="007B5C6C">
        <w:rPr>
          <w:sz w:val="24"/>
          <w:szCs w:val="24"/>
        </w:rPr>
        <w:t xml:space="preserve">иципальный уголь в размере </w:t>
      </w:r>
      <w:r w:rsidR="00562A22">
        <w:rPr>
          <w:sz w:val="24"/>
          <w:szCs w:val="24"/>
        </w:rPr>
        <w:t>3170,7</w:t>
      </w:r>
      <w:r w:rsidR="000B67D3" w:rsidRPr="007B5C6C">
        <w:rPr>
          <w:sz w:val="24"/>
          <w:szCs w:val="24"/>
        </w:rPr>
        <w:t xml:space="preserve"> тыс.</w:t>
      </w:r>
      <w:r w:rsidR="00D6711E" w:rsidRPr="007B5C6C">
        <w:rPr>
          <w:sz w:val="24"/>
          <w:szCs w:val="24"/>
        </w:rPr>
        <w:t xml:space="preserve"> р</w:t>
      </w:r>
      <w:r w:rsidR="000B67D3" w:rsidRPr="007B5C6C">
        <w:rPr>
          <w:sz w:val="24"/>
          <w:szCs w:val="24"/>
        </w:rPr>
        <w:t>уб</w:t>
      </w:r>
      <w:r w:rsidR="00562A22">
        <w:rPr>
          <w:sz w:val="24"/>
          <w:szCs w:val="24"/>
        </w:rPr>
        <w:t>.</w:t>
      </w:r>
      <w:r w:rsidRPr="007B5C6C">
        <w:rPr>
          <w:sz w:val="24"/>
          <w:szCs w:val="24"/>
        </w:rPr>
        <w:t xml:space="preserve"> В виде прочих неналоговые доходов</w:t>
      </w:r>
      <w:r w:rsidR="00D6711E" w:rsidRPr="007B5C6C">
        <w:rPr>
          <w:sz w:val="24"/>
          <w:szCs w:val="24"/>
        </w:rPr>
        <w:t xml:space="preserve"> </w:t>
      </w:r>
      <w:r w:rsidR="00FF1CD7">
        <w:rPr>
          <w:sz w:val="24"/>
          <w:szCs w:val="24"/>
        </w:rPr>
        <w:t>-</w:t>
      </w:r>
      <w:r w:rsidR="00D6711E" w:rsidRPr="007B5C6C">
        <w:rPr>
          <w:sz w:val="24"/>
          <w:szCs w:val="24"/>
        </w:rPr>
        <w:t xml:space="preserve"> инициативные платежи от населения </w:t>
      </w:r>
      <w:r w:rsidR="00562A22">
        <w:rPr>
          <w:sz w:val="24"/>
          <w:szCs w:val="24"/>
        </w:rPr>
        <w:t>680</w:t>
      </w:r>
      <w:r w:rsidR="00FF1CD7">
        <w:rPr>
          <w:sz w:val="24"/>
          <w:szCs w:val="24"/>
        </w:rPr>
        <w:t>,0</w:t>
      </w:r>
      <w:r w:rsidR="00D6711E" w:rsidRPr="007B5C6C">
        <w:rPr>
          <w:sz w:val="24"/>
          <w:szCs w:val="24"/>
        </w:rPr>
        <w:t xml:space="preserve"> тыс. руб. </w:t>
      </w:r>
      <w:r w:rsidR="000B67D3" w:rsidRPr="007B5C6C">
        <w:rPr>
          <w:sz w:val="24"/>
          <w:szCs w:val="24"/>
        </w:rPr>
        <w:t xml:space="preserve"> </w:t>
      </w:r>
      <w:r w:rsidRPr="007B5C6C">
        <w:rPr>
          <w:sz w:val="24"/>
          <w:szCs w:val="24"/>
        </w:rPr>
        <w:t>Все выше</w:t>
      </w:r>
      <w:r w:rsidR="00D6711E" w:rsidRPr="007B5C6C">
        <w:rPr>
          <w:sz w:val="24"/>
          <w:szCs w:val="24"/>
        </w:rPr>
        <w:t xml:space="preserve">перечисленные суммы </w:t>
      </w:r>
      <w:r w:rsidR="000B67D3" w:rsidRPr="007B5C6C">
        <w:rPr>
          <w:sz w:val="24"/>
          <w:szCs w:val="24"/>
        </w:rPr>
        <w:t>не вошли в расчет плановых показателей на 202</w:t>
      </w:r>
      <w:r w:rsidR="00562A22">
        <w:rPr>
          <w:sz w:val="24"/>
          <w:szCs w:val="24"/>
        </w:rPr>
        <w:t>5</w:t>
      </w:r>
      <w:r w:rsidR="000B67D3" w:rsidRPr="007B5C6C">
        <w:rPr>
          <w:sz w:val="24"/>
          <w:szCs w:val="24"/>
        </w:rPr>
        <w:t xml:space="preserve"> год</w:t>
      </w:r>
      <w:r w:rsidR="00D6711E" w:rsidRPr="007B5C6C">
        <w:rPr>
          <w:sz w:val="24"/>
          <w:szCs w:val="24"/>
        </w:rPr>
        <w:t>.</w:t>
      </w:r>
    </w:p>
    <w:p w:rsidR="00D6325D" w:rsidRPr="00150AB8" w:rsidRDefault="00D6325D" w:rsidP="00AA572A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CE3245" w:rsidRPr="00262280" w:rsidRDefault="00CE3245" w:rsidP="00CE3245">
      <w:pPr>
        <w:pStyle w:val="ae"/>
        <w:ind w:firstLine="708"/>
        <w:jc w:val="both"/>
        <w:rPr>
          <w:b/>
          <w:sz w:val="24"/>
          <w:szCs w:val="24"/>
        </w:rPr>
      </w:pPr>
      <w:r w:rsidRPr="00D6711E">
        <w:rPr>
          <w:sz w:val="24"/>
          <w:szCs w:val="24"/>
        </w:rPr>
        <w:t>Прогнозные поступления арендных платежей по землям сельскохозяйственного назначения на 202</w:t>
      </w:r>
      <w:r w:rsidR="00562A22">
        <w:rPr>
          <w:sz w:val="24"/>
          <w:szCs w:val="24"/>
        </w:rPr>
        <w:t>5</w:t>
      </w:r>
      <w:r w:rsidRPr="00D6711E">
        <w:rPr>
          <w:sz w:val="24"/>
          <w:szCs w:val="24"/>
        </w:rPr>
        <w:t xml:space="preserve"> год – </w:t>
      </w:r>
      <w:r w:rsidR="00562A22">
        <w:rPr>
          <w:sz w:val="24"/>
          <w:szCs w:val="24"/>
        </w:rPr>
        <w:t>19856,3</w:t>
      </w:r>
      <w:r w:rsidRPr="00D6711E">
        <w:rPr>
          <w:sz w:val="24"/>
          <w:szCs w:val="24"/>
        </w:rPr>
        <w:t xml:space="preserve"> тыс. руб</w:t>
      </w:r>
      <w:r w:rsidR="00FE1255">
        <w:rPr>
          <w:sz w:val="24"/>
          <w:szCs w:val="24"/>
        </w:rPr>
        <w:t xml:space="preserve">лей. </w:t>
      </w:r>
      <w:r w:rsidRPr="00D6711E">
        <w:rPr>
          <w:sz w:val="24"/>
          <w:szCs w:val="24"/>
        </w:rPr>
        <w:t>Общая сумма задолженности по</w:t>
      </w:r>
      <w:r w:rsidRPr="00D6711E">
        <w:rPr>
          <w:b/>
          <w:sz w:val="24"/>
          <w:szCs w:val="24"/>
        </w:rPr>
        <w:t xml:space="preserve"> </w:t>
      </w:r>
      <w:r w:rsidRPr="00D6711E">
        <w:rPr>
          <w:sz w:val="24"/>
          <w:szCs w:val="24"/>
        </w:rPr>
        <w:t>аренде земель сельскохозяйственного назначения  на 1 октября 202</w:t>
      </w:r>
      <w:r w:rsidR="00562A22">
        <w:rPr>
          <w:sz w:val="24"/>
          <w:szCs w:val="24"/>
        </w:rPr>
        <w:t>4</w:t>
      </w:r>
      <w:r w:rsidRPr="00D6711E">
        <w:rPr>
          <w:sz w:val="24"/>
          <w:szCs w:val="24"/>
        </w:rPr>
        <w:t xml:space="preserve"> года </w:t>
      </w:r>
      <w:r w:rsidRPr="00262280">
        <w:rPr>
          <w:sz w:val="24"/>
          <w:szCs w:val="24"/>
        </w:rPr>
        <w:t>составляет –</w:t>
      </w:r>
      <w:r w:rsidR="00FE1255">
        <w:rPr>
          <w:sz w:val="24"/>
          <w:szCs w:val="24"/>
        </w:rPr>
        <w:t xml:space="preserve"> </w:t>
      </w:r>
      <w:r w:rsidR="006D483B">
        <w:rPr>
          <w:sz w:val="24"/>
          <w:szCs w:val="24"/>
        </w:rPr>
        <w:t>4006</w:t>
      </w:r>
      <w:r w:rsidRPr="00262280">
        <w:rPr>
          <w:sz w:val="24"/>
          <w:szCs w:val="24"/>
        </w:rPr>
        <w:t xml:space="preserve"> тыс</w:t>
      </w:r>
      <w:proofErr w:type="gramStart"/>
      <w:r w:rsidRPr="00262280">
        <w:rPr>
          <w:sz w:val="24"/>
          <w:szCs w:val="24"/>
        </w:rPr>
        <w:t>.р</w:t>
      </w:r>
      <w:proofErr w:type="gramEnd"/>
      <w:r w:rsidRPr="00262280">
        <w:rPr>
          <w:sz w:val="24"/>
          <w:szCs w:val="24"/>
        </w:rPr>
        <w:t>уб</w:t>
      </w:r>
      <w:r w:rsidR="00FE1255">
        <w:rPr>
          <w:sz w:val="24"/>
          <w:szCs w:val="24"/>
        </w:rPr>
        <w:t>лей</w:t>
      </w:r>
      <w:r w:rsidRPr="00262280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стадии банкротства из числа арендаторов земель сельскохозяйственного назначения имеющие задолженность по арендным платежам земель сельскохозяйственного назначения: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«Москва» (с. </w:t>
      </w:r>
      <w:proofErr w:type="spellStart"/>
      <w:r w:rsidRPr="009F6B2B">
        <w:rPr>
          <w:sz w:val="24"/>
          <w:szCs w:val="24"/>
        </w:rPr>
        <w:t>Дегтярка</w:t>
      </w:r>
      <w:proofErr w:type="spellEnd"/>
      <w:r w:rsidRPr="009F6B2B">
        <w:rPr>
          <w:sz w:val="24"/>
          <w:szCs w:val="24"/>
        </w:rPr>
        <w:t>) 2758,3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ООО «Алтай» (с. </w:t>
      </w:r>
      <w:proofErr w:type="spellStart"/>
      <w:r w:rsidRPr="009F6B2B">
        <w:rPr>
          <w:sz w:val="24"/>
          <w:szCs w:val="24"/>
        </w:rPr>
        <w:t>Протасово</w:t>
      </w:r>
      <w:proofErr w:type="spellEnd"/>
      <w:r w:rsidRPr="009F6B2B">
        <w:rPr>
          <w:sz w:val="24"/>
          <w:szCs w:val="24"/>
        </w:rPr>
        <w:t>) 519,2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ООО АПП «</w:t>
      </w:r>
      <w:proofErr w:type="spellStart"/>
      <w:r w:rsidRPr="009F6B2B">
        <w:rPr>
          <w:sz w:val="24"/>
          <w:szCs w:val="24"/>
        </w:rPr>
        <w:t>Инское</w:t>
      </w:r>
      <w:proofErr w:type="spellEnd"/>
      <w:r w:rsidRPr="009F6B2B">
        <w:rPr>
          <w:sz w:val="24"/>
          <w:szCs w:val="24"/>
        </w:rPr>
        <w:t>» (с.Орлово) 1327,2 тыс.</w:t>
      </w:r>
      <w:r w:rsidR="00FE1255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;</w:t>
      </w:r>
    </w:p>
    <w:p w:rsidR="00CE3245" w:rsidRPr="009F6B2B" w:rsidRDefault="00CE3245" w:rsidP="00CE3245">
      <w:pPr>
        <w:pStyle w:val="ae"/>
        <w:numPr>
          <w:ilvl w:val="0"/>
          <w:numId w:val="27"/>
        </w:numPr>
        <w:jc w:val="both"/>
        <w:rPr>
          <w:sz w:val="24"/>
          <w:szCs w:val="24"/>
        </w:rPr>
      </w:pPr>
      <w:r w:rsidRPr="009F6B2B">
        <w:rPr>
          <w:sz w:val="24"/>
          <w:szCs w:val="24"/>
        </w:rPr>
        <w:t>СПК «Сибирь» (с. Полевое) 1179,4 тыс</w:t>
      </w:r>
      <w:proofErr w:type="gramStart"/>
      <w:r w:rsidRPr="009F6B2B">
        <w:rPr>
          <w:sz w:val="24"/>
          <w:szCs w:val="24"/>
        </w:rPr>
        <w:t>.р</w:t>
      </w:r>
      <w:proofErr w:type="gramEnd"/>
      <w:r w:rsidRPr="009F6B2B">
        <w:rPr>
          <w:sz w:val="24"/>
          <w:szCs w:val="24"/>
        </w:rPr>
        <w:t>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Требования Администрации Немецкого национального района по погашению задолженности за аренду земли сельскохозяйственного назначения включены в реестр требований кредиторов </w:t>
      </w:r>
      <w:r w:rsidR="0019393A" w:rsidRPr="009F6B2B">
        <w:rPr>
          <w:sz w:val="24"/>
          <w:szCs w:val="24"/>
        </w:rPr>
        <w:t>в отношении арендаторов,</w:t>
      </w:r>
      <w:r w:rsidRPr="009F6B2B">
        <w:rPr>
          <w:sz w:val="24"/>
          <w:szCs w:val="24"/>
        </w:rPr>
        <w:t xml:space="preserve"> находящихся в стадии банкротства.</w:t>
      </w:r>
    </w:p>
    <w:p w:rsidR="00CE3245" w:rsidRPr="009F6B2B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 xml:space="preserve">Сумма выпадающих доходов по данным предприятиям </w:t>
      </w:r>
      <w:r w:rsidRPr="009F6B2B">
        <w:rPr>
          <w:b/>
          <w:sz w:val="24"/>
          <w:szCs w:val="24"/>
        </w:rPr>
        <w:t xml:space="preserve">– </w:t>
      </w:r>
      <w:r w:rsidRPr="009F6B2B">
        <w:rPr>
          <w:sz w:val="24"/>
          <w:szCs w:val="24"/>
        </w:rPr>
        <w:t>5784,1 тыс.</w:t>
      </w:r>
      <w:r w:rsid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руб</w:t>
      </w:r>
      <w:r w:rsidR="00FE1255" w:rsidRPr="009F6B2B">
        <w:rPr>
          <w:sz w:val="24"/>
          <w:szCs w:val="24"/>
        </w:rPr>
        <w:t>лей</w:t>
      </w:r>
      <w:r w:rsidRPr="009F6B2B">
        <w:rPr>
          <w:sz w:val="24"/>
          <w:szCs w:val="24"/>
        </w:rPr>
        <w:t>.</w:t>
      </w:r>
    </w:p>
    <w:p w:rsidR="00CE3245" w:rsidRPr="00D6711E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9F6B2B">
        <w:rPr>
          <w:sz w:val="24"/>
          <w:szCs w:val="24"/>
        </w:rPr>
        <w:t>В соответствии со ст. 134 Федерального закона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«О несостоятельности (банкротстве) погашение задолженности по арендным платежам происходит в 4-ю очередь. В соответствии с чем, взыскать с указанных арендаторов задолженность по арендным платежам</w:t>
      </w:r>
      <w:r w:rsidR="0019393A" w:rsidRPr="009F6B2B">
        <w:rPr>
          <w:sz w:val="24"/>
          <w:szCs w:val="24"/>
        </w:rPr>
        <w:t xml:space="preserve"> </w:t>
      </w:r>
      <w:r w:rsidRPr="009F6B2B">
        <w:rPr>
          <w:sz w:val="24"/>
          <w:szCs w:val="24"/>
        </w:rPr>
        <w:t>за аренду земель сельскохозяйственного назначения, не представляется возможным, ввиду отсутствия у них денежных средств и имущества, позволяющих погасить задолженность.</w:t>
      </w:r>
    </w:p>
    <w:p w:rsidR="00CE3245" w:rsidRPr="00536CDF" w:rsidRDefault="00CE3245" w:rsidP="00CE3245">
      <w:pPr>
        <w:pStyle w:val="ae"/>
        <w:ind w:firstLine="708"/>
        <w:jc w:val="both"/>
        <w:rPr>
          <w:sz w:val="24"/>
          <w:szCs w:val="24"/>
        </w:rPr>
      </w:pPr>
      <w:r w:rsidRPr="00536CDF">
        <w:rPr>
          <w:sz w:val="24"/>
          <w:szCs w:val="24"/>
        </w:rPr>
        <w:t>В случае завершения конкурсного производства и исключения указанных предприятий из ЕГРЮЛ задолженность  будет списана по решению комиссии как безнадежная к взысканию.</w:t>
      </w:r>
    </w:p>
    <w:p w:rsidR="003348A9" w:rsidRPr="003348A9" w:rsidRDefault="003348A9" w:rsidP="001C49B6">
      <w:pPr>
        <w:pStyle w:val="ae"/>
        <w:ind w:firstLine="708"/>
        <w:jc w:val="both"/>
        <w:rPr>
          <w:sz w:val="24"/>
          <w:szCs w:val="24"/>
        </w:rPr>
      </w:pPr>
      <w:r w:rsidRPr="003348A9">
        <w:rPr>
          <w:sz w:val="24"/>
          <w:szCs w:val="24"/>
        </w:rPr>
        <w:t>В настоящее время средняя стоимость арендной платы за 1 га в год 129 руб./га.</w:t>
      </w:r>
    </w:p>
    <w:p w:rsidR="00F46C9D" w:rsidRPr="00AA1EBA" w:rsidRDefault="001C49B6" w:rsidP="001C49B6">
      <w:pPr>
        <w:pStyle w:val="ae"/>
        <w:ind w:firstLine="708"/>
        <w:jc w:val="both"/>
        <w:rPr>
          <w:sz w:val="24"/>
          <w:szCs w:val="24"/>
          <w:highlight w:val="yellow"/>
        </w:rPr>
      </w:pPr>
      <w:r w:rsidRPr="00AC0D6C">
        <w:rPr>
          <w:sz w:val="24"/>
          <w:szCs w:val="24"/>
        </w:rPr>
        <w:t xml:space="preserve">Заключено </w:t>
      </w:r>
      <w:r w:rsidR="000B46C3">
        <w:rPr>
          <w:sz w:val="24"/>
          <w:szCs w:val="24"/>
        </w:rPr>
        <w:t xml:space="preserve">договоров по аренде </w:t>
      </w:r>
      <w:r w:rsidR="00F46C9D" w:rsidRPr="00AC0D6C">
        <w:rPr>
          <w:sz w:val="24"/>
          <w:szCs w:val="24"/>
        </w:rPr>
        <w:t>земли сельскохозяйственного назначения</w:t>
      </w:r>
      <w:r w:rsidRPr="00AC0D6C">
        <w:rPr>
          <w:sz w:val="24"/>
          <w:szCs w:val="24"/>
        </w:rPr>
        <w:t xml:space="preserve"> – </w:t>
      </w:r>
      <w:r w:rsidR="00F46C9D" w:rsidRPr="00AC0D6C">
        <w:rPr>
          <w:sz w:val="24"/>
          <w:szCs w:val="24"/>
        </w:rPr>
        <w:t>1</w:t>
      </w:r>
      <w:r w:rsidR="006D483B">
        <w:rPr>
          <w:sz w:val="24"/>
          <w:szCs w:val="24"/>
        </w:rPr>
        <w:t>26</w:t>
      </w:r>
      <w:r w:rsidRPr="00AC0D6C">
        <w:rPr>
          <w:sz w:val="24"/>
          <w:szCs w:val="24"/>
        </w:rPr>
        <w:t xml:space="preserve"> шт.</w:t>
      </w:r>
    </w:p>
    <w:p w:rsidR="001C49B6" w:rsidRPr="007B5C6C" w:rsidRDefault="00F46C9D" w:rsidP="001C49B6">
      <w:pPr>
        <w:pStyle w:val="ae"/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   </w:t>
      </w:r>
      <w:r w:rsidR="001C49B6" w:rsidRPr="003348A9">
        <w:rPr>
          <w:sz w:val="24"/>
          <w:szCs w:val="24"/>
        </w:rPr>
        <w:tab/>
      </w:r>
      <w:r w:rsidRPr="007B5C6C">
        <w:rPr>
          <w:sz w:val="24"/>
          <w:szCs w:val="24"/>
        </w:rPr>
        <w:t>Данная стоимость склад</w:t>
      </w:r>
      <w:r w:rsidR="00FE1255" w:rsidRPr="007B5C6C">
        <w:rPr>
          <w:sz w:val="24"/>
          <w:szCs w:val="24"/>
        </w:rPr>
        <w:t xml:space="preserve">ывается из арендных платежей за </w:t>
      </w:r>
      <w:r w:rsidRPr="007B5C6C">
        <w:rPr>
          <w:sz w:val="24"/>
          <w:szCs w:val="24"/>
        </w:rPr>
        <w:t>земли с</w:t>
      </w:r>
      <w:r w:rsidR="00FE1255" w:rsidRPr="007B5C6C">
        <w:rPr>
          <w:sz w:val="24"/>
          <w:szCs w:val="24"/>
        </w:rPr>
        <w:t xml:space="preserve">ельскохозяйственного назначения, </w:t>
      </w:r>
      <w:r w:rsidRPr="007B5C6C">
        <w:rPr>
          <w:sz w:val="24"/>
          <w:szCs w:val="24"/>
        </w:rPr>
        <w:t>которая рассчитывается:</w:t>
      </w:r>
    </w:p>
    <w:p w:rsidR="008461D0" w:rsidRPr="003348A9" w:rsidRDefault="008461D0" w:rsidP="001C49B6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 w:rsidRPr="003348A9">
        <w:rPr>
          <w:sz w:val="24"/>
          <w:szCs w:val="24"/>
        </w:rPr>
        <w:t xml:space="preserve">В отношении КФХ </w:t>
      </w:r>
      <w:proofErr w:type="spellStart"/>
      <w:r w:rsidRPr="003348A9">
        <w:rPr>
          <w:sz w:val="24"/>
          <w:szCs w:val="24"/>
        </w:rPr>
        <w:t>Богер</w:t>
      </w:r>
      <w:proofErr w:type="spellEnd"/>
      <w:r w:rsidRPr="003348A9">
        <w:rPr>
          <w:sz w:val="24"/>
          <w:szCs w:val="24"/>
        </w:rPr>
        <w:t xml:space="preserve">, СХА (колхоз) </w:t>
      </w:r>
      <w:proofErr w:type="spellStart"/>
      <w:r w:rsidRPr="003348A9">
        <w:rPr>
          <w:sz w:val="24"/>
          <w:szCs w:val="24"/>
        </w:rPr>
        <w:t>племзавод</w:t>
      </w:r>
      <w:proofErr w:type="spellEnd"/>
      <w:r w:rsidRPr="003348A9">
        <w:rPr>
          <w:sz w:val="24"/>
          <w:szCs w:val="24"/>
        </w:rPr>
        <w:t xml:space="preserve"> «Степной», ИП КФХ </w:t>
      </w:r>
      <w:proofErr w:type="spellStart"/>
      <w:r w:rsidRPr="003348A9">
        <w:rPr>
          <w:sz w:val="24"/>
          <w:szCs w:val="24"/>
        </w:rPr>
        <w:t>Эпп</w:t>
      </w:r>
      <w:proofErr w:type="spellEnd"/>
      <w:r w:rsidRPr="003348A9">
        <w:rPr>
          <w:sz w:val="24"/>
          <w:szCs w:val="24"/>
        </w:rPr>
        <w:t xml:space="preserve">, ИП КФХ </w:t>
      </w:r>
      <w:proofErr w:type="spellStart"/>
      <w:r w:rsidRPr="003348A9">
        <w:rPr>
          <w:sz w:val="24"/>
          <w:szCs w:val="24"/>
        </w:rPr>
        <w:t>Шрейнер</w:t>
      </w:r>
      <w:proofErr w:type="spellEnd"/>
      <w:r w:rsidRPr="003348A9">
        <w:rPr>
          <w:sz w:val="24"/>
          <w:szCs w:val="24"/>
        </w:rPr>
        <w:t xml:space="preserve"> С.А., ИП КФХ Кобелев, ИП КФХ </w:t>
      </w:r>
      <w:proofErr w:type="spellStart"/>
      <w:r w:rsidRPr="003348A9">
        <w:rPr>
          <w:sz w:val="24"/>
          <w:szCs w:val="24"/>
        </w:rPr>
        <w:t>Берх</w:t>
      </w:r>
      <w:proofErr w:type="spellEnd"/>
      <w:r w:rsidRPr="003348A9">
        <w:rPr>
          <w:sz w:val="24"/>
          <w:szCs w:val="24"/>
        </w:rPr>
        <w:t xml:space="preserve"> подписаны дополнительные соглашения</w:t>
      </w:r>
      <w:r w:rsidR="007B5C6C">
        <w:rPr>
          <w:sz w:val="24"/>
          <w:szCs w:val="24"/>
        </w:rPr>
        <w:t xml:space="preserve"> к договорам аренды земель сельскохозяйственного назначения. В дополнительных соглашениях отражено</w:t>
      </w:r>
      <w:r w:rsidRPr="003348A9">
        <w:rPr>
          <w:sz w:val="24"/>
          <w:szCs w:val="24"/>
        </w:rPr>
        <w:t xml:space="preserve"> изменени</w:t>
      </w:r>
      <w:r w:rsidR="007B5C6C">
        <w:rPr>
          <w:sz w:val="24"/>
          <w:szCs w:val="24"/>
        </w:rPr>
        <w:t>е</w:t>
      </w:r>
      <w:r w:rsidRPr="003348A9">
        <w:rPr>
          <w:sz w:val="24"/>
          <w:szCs w:val="24"/>
        </w:rPr>
        <w:t xml:space="preserve"> арендной ставки</w:t>
      </w:r>
      <w:r w:rsidR="007B5C6C">
        <w:rPr>
          <w:sz w:val="24"/>
          <w:szCs w:val="24"/>
        </w:rPr>
        <w:t>:</w:t>
      </w:r>
      <w:r w:rsidRPr="003348A9">
        <w:rPr>
          <w:sz w:val="24"/>
          <w:szCs w:val="24"/>
        </w:rPr>
        <w:t xml:space="preserve"> в отношени</w:t>
      </w:r>
      <w:r w:rsidR="003348A9" w:rsidRPr="003348A9">
        <w:rPr>
          <w:sz w:val="24"/>
          <w:szCs w:val="24"/>
        </w:rPr>
        <w:t>и</w:t>
      </w:r>
      <w:r w:rsidR="007B5C6C">
        <w:rPr>
          <w:sz w:val="24"/>
          <w:szCs w:val="24"/>
        </w:rPr>
        <w:t xml:space="preserve"> </w:t>
      </w:r>
      <w:r w:rsidRPr="003348A9">
        <w:rPr>
          <w:sz w:val="24"/>
          <w:szCs w:val="24"/>
        </w:rPr>
        <w:t>организаци</w:t>
      </w:r>
      <w:r w:rsidR="007B5C6C">
        <w:rPr>
          <w:sz w:val="24"/>
          <w:szCs w:val="24"/>
        </w:rPr>
        <w:t>й -  в размере 100 руб. за 1 га; в отношении КФХ и ИП 200 руб. з</w:t>
      </w:r>
      <w:r w:rsidRPr="003348A9">
        <w:rPr>
          <w:sz w:val="24"/>
          <w:szCs w:val="24"/>
        </w:rPr>
        <w:t>а 1 г</w:t>
      </w:r>
      <w:r w:rsidRPr="00FE772D">
        <w:rPr>
          <w:sz w:val="24"/>
          <w:szCs w:val="24"/>
        </w:rPr>
        <w:t xml:space="preserve">а. </w:t>
      </w:r>
    </w:p>
    <w:p w:rsidR="007B5C6C" w:rsidRDefault="007B5C6C" w:rsidP="007B5C6C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 w:rsidR="00F46C9D" w:rsidRPr="00D6711E">
        <w:rPr>
          <w:sz w:val="24"/>
          <w:szCs w:val="24"/>
        </w:rPr>
        <w:t>п.2 ст. 3 Федерального закона «О введении в действие земельного кодекса Российской Федерации» от 25 о</w:t>
      </w:r>
      <w:r w:rsidR="001C49B6" w:rsidRPr="00D6711E">
        <w:rPr>
          <w:sz w:val="24"/>
          <w:szCs w:val="24"/>
        </w:rPr>
        <w:t xml:space="preserve">ктября 2010 </w:t>
      </w:r>
      <w:proofErr w:type="spellStart"/>
      <w:r w:rsidR="001C49B6" w:rsidRPr="00D6711E">
        <w:rPr>
          <w:sz w:val="24"/>
          <w:szCs w:val="24"/>
        </w:rPr>
        <w:t>г.№</w:t>
      </w:r>
      <w:proofErr w:type="spellEnd"/>
      <w:r w:rsidR="001C49B6" w:rsidRPr="00D6711E">
        <w:rPr>
          <w:sz w:val="24"/>
          <w:szCs w:val="24"/>
        </w:rPr>
        <w:t xml:space="preserve"> 137-ФЗ и п.2.4 </w:t>
      </w:r>
      <w:r w:rsidR="00F46C9D" w:rsidRPr="00D6711E">
        <w:rPr>
          <w:sz w:val="24"/>
          <w:szCs w:val="24"/>
        </w:rPr>
        <w:t>постановления  Администрации Алтайского края об утверждении  положения о  порядке определения размера арендной платы за использование находящихся на территории Алтайского края  земельных участков государственная собственность на которые не разграничена, порядке, условиях и сроках её внесен</w:t>
      </w:r>
      <w:r>
        <w:rPr>
          <w:sz w:val="24"/>
          <w:szCs w:val="24"/>
        </w:rPr>
        <w:t>ия от 24 декабря 2007 г. N</w:t>
      </w:r>
      <w:r w:rsidR="001C49B6" w:rsidRPr="00D6711E">
        <w:rPr>
          <w:sz w:val="24"/>
          <w:szCs w:val="24"/>
        </w:rPr>
        <w:t xml:space="preserve">603 </w:t>
      </w:r>
      <w:r>
        <w:rPr>
          <w:sz w:val="24"/>
          <w:szCs w:val="24"/>
        </w:rPr>
        <w:t xml:space="preserve">в </w:t>
      </w:r>
      <w:r w:rsidR="00F46C9D" w:rsidRPr="00D6711E">
        <w:rPr>
          <w:sz w:val="24"/>
          <w:szCs w:val="24"/>
        </w:rPr>
        <w:t>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 трех десятых процента кадастровой стоимости арендуемых земельных участков из земель сель</w:t>
      </w:r>
      <w:r w:rsidR="001C49B6" w:rsidRPr="00D6711E">
        <w:rPr>
          <w:sz w:val="24"/>
          <w:szCs w:val="24"/>
        </w:rPr>
        <w:t>скохозяйственного назначения; (</w:t>
      </w:r>
      <w:r w:rsidR="00F46C9D" w:rsidRPr="00D6711E">
        <w:rPr>
          <w:sz w:val="24"/>
          <w:szCs w:val="24"/>
        </w:rPr>
        <w:t xml:space="preserve">решение Арбитражного суда Алтайского края, дело № А03-221544/2015 от 27.01.2016)  Применение коэффициентов при расчете арендной платы, за аренду земель сельскохозяйственного назначения отменено решением указанного Арбитражного суда и подтверждено решением Верховного суда. </w:t>
      </w:r>
    </w:p>
    <w:p w:rsidR="00F46C9D" w:rsidRPr="007B5C6C" w:rsidRDefault="005E4FA2" w:rsidP="007B5C6C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6D483B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планируется с</w:t>
      </w:r>
      <w:r w:rsidR="00F46C9D" w:rsidRPr="007B5C6C">
        <w:rPr>
          <w:sz w:val="24"/>
          <w:szCs w:val="24"/>
        </w:rPr>
        <w:t xml:space="preserve">нижение </w:t>
      </w:r>
      <w:r w:rsidR="007B5C6C">
        <w:rPr>
          <w:sz w:val="24"/>
          <w:szCs w:val="24"/>
        </w:rPr>
        <w:t>доходов от продажи</w:t>
      </w:r>
      <w:r w:rsidR="00F46C9D" w:rsidRPr="007B5C6C">
        <w:rPr>
          <w:sz w:val="24"/>
          <w:szCs w:val="24"/>
        </w:rPr>
        <w:t xml:space="preserve"> имущества по</w:t>
      </w:r>
      <w:r>
        <w:rPr>
          <w:sz w:val="24"/>
          <w:szCs w:val="24"/>
        </w:rPr>
        <w:t xml:space="preserve"> сравнению с предыдущими годами, что </w:t>
      </w:r>
      <w:r w:rsidR="00F46C9D" w:rsidRPr="007B5C6C">
        <w:rPr>
          <w:sz w:val="24"/>
          <w:szCs w:val="24"/>
        </w:rPr>
        <w:t>объясняется отсутствием заявлений на приобретение объек</w:t>
      </w:r>
      <w:r w:rsidR="001C49B6" w:rsidRPr="007B5C6C">
        <w:rPr>
          <w:sz w:val="24"/>
          <w:szCs w:val="24"/>
        </w:rPr>
        <w:t>тов муниципальной собственности</w:t>
      </w:r>
      <w:r w:rsidR="00F46C9D" w:rsidRPr="007B5C6C">
        <w:rPr>
          <w:sz w:val="24"/>
          <w:szCs w:val="24"/>
        </w:rPr>
        <w:t>.</w:t>
      </w:r>
    </w:p>
    <w:p w:rsidR="00F46C9D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относятся: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п</w:t>
      </w:r>
      <w:r w:rsidRPr="005E4FA2">
        <w:rPr>
          <w:sz w:val="24"/>
          <w:szCs w:val="24"/>
        </w:rPr>
        <w:t xml:space="preserve">рочие доходы от компенсации затрат </w:t>
      </w:r>
      <w:r w:rsidRPr="005E4FA2">
        <w:rPr>
          <w:bCs/>
          <w:sz w:val="24"/>
          <w:szCs w:val="24"/>
        </w:rPr>
        <w:t>бюджетов муниципальных районов;</w:t>
      </w:r>
    </w:p>
    <w:p w:rsidR="00F46C9D" w:rsidRPr="005E4FA2" w:rsidRDefault="00F46C9D" w:rsidP="005E4FA2">
      <w:pPr>
        <w:pStyle w:val="ae"/>
        <w:numPr>
          <w:ilvl w:val="0"/>
          <w:numId w:val="39"/>
        </w:numPr>
        <w:jc w:val="both"/>
        <w:rPr>
          <w:sz w:val="24"/>
          <w:szCs w:val="24"/>
        </w:rPr>
      </w:pPr>
      <w:r w:rsidRPr="005E4FA2">
        <w:rPr>
          <w:bCs/>
          <w:sz w:val="24"/>
          <w:szCs w:val="24"/>
        </w:rPr>
        <w:t>д</w:t>
      </w:r>
      <w:r w:rsidRPr="005E4FA2">
        <w:rPr>
          <w:bCs/>
          <w:snapToGrid w:val="0"/>
          <w:sz w:val="24"/>
          <w:szCs w:val="24"/>
        </w:rPr>
        <w:t>оходы от реализ</w:t>
      </w:r>
      <w:r w:rsidR="008B52B6" w:rsidRPr="005E4FA2">
        <w:rPr>
          <w:bCs/>
          <w:snapToGrid w:val="0"/>
          <w:sz w:val="24"/>
          <w:szCs w:val="24"/>
        </w:rPr>
        <w:t xml:space="preserve">ации имущества, находящегося  в </w:t>
      </w:r>
      <w:r w:rsidRPr="005E4FA2">
        <w:rPr>
          <w:bCs/>
          <w:snapToGrid w:val="0"/>
          <w:sz w:val="24"/>
          <w:szCs w:val="24"/>
        </w:rPr>
        <w:t>опе</w:t>
      </w:r>
      <w:r w:rsidR="008B52B6" w:rsidRPr="005E4FA2">
        <w:rPr>
          <w:bCs/>
          <w:snapToGrid w:val="0"/>
          <w:sz w:val="24"/>
          <w:szCs w:val="24"/>
        </w:rPr>
        <w:t xml:space="preserve">ративном управлении учреждений, находящихся в </w:t>
      </w:r>
      <w:r w:rsidRPr="005E4FA2">
        <w:rPr>
          <w:bCs/>
          <w:snapToGrid w:val="0"/>
          <w:sz w:val="24"/>
          <w:szCs w:val="24"/>
        </w:rPr>
        <w:t>ведении органов государствен</w:t>
      </w:r>
      <w:r w:rsidR="008B52B6" w:rsidRPr="005E4FA2">
        <w:rPr>
          <w:bCs/>
          <w:snapToGrid w:val="0"/>
          <w:sz w:val="24"/>
          <w:szCs w:val="24"/>
        </w:rPr>
        <w:t xml:space="preserve">ной власти </w:t>
      </w:r>
      <w:r w:rsidRPr="005E4FA2">
        <w:rPr>
          <w:bCs/>
          <w:snapToGrid w:val="0"/>
          <w:sz w:val="24"/>
          <w:szCs w:val="24"/>
        </w:rPr>
        <w:t>муниципальных районов (за исключением имущества бюджетных и автономных учреждений муниципальных районов),  в части реализации основных средств по указанному имуществу.</w:t>
      </w:r>
    </w:p>
    <w:p w:rsidR="00F46C9D" w:rsidRPr="00D6711E" w:rsidRDefault="008B52B6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 xml:space="preserve">Доходы, </w:t>
      </w:r>
      <w:r w:rsidR="00F46C9D" w:rsidRPr="00D6711E">
        <w:rPr>
          <w:sz w:val="24"/>
          <w:szCs w:val="24"/>
        </w:rPr>
        <w:t>имею</w:t>
      </w:r>
      <w:r w:rsidR="001C49B6" w:rsidRPr="00D6711E">
        <w:rPr>
          <w:sz w:val="24"/>
          <w:szCs w:val="24"/>
        </w:rPr>
        <w:t>щие</w:t>
      </w:r>
      <w:r w:rsidR="00F46C9D" w:rsidRPr="00D6711E">
        <w:rPr>
          <w:sz w:val="24"/>
          <w:szCs w:val="24"/>
        </w:rPr>
        <w:t xml:space="preserve"> н</w:t>
      </w:r>
      <w:r w:rsidR="001C49B6" w:rsidRPr="00D6711E">
        <w:rPr>
          <w:sz w:val="24"/>
          <w:szCs w:val="24"/>
        </w:rPr>
        <w:t>есистемный характер поступлений: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прочие неналоговые доходы бюджетов муниципальных районов;</w:t>
      </w:r>
    </w:p>
    <w:p w:rsidR="00F46C9D" w:rsidRPr="00D6711E" w:rsidRDefault="00F46C9D" w:rsidP="001C49B6">
      <w:pPr>
        <w:pStyle w:val="ae"/>
        <w:numPr>
          <w:ilvl w:val="0"/>
          <w:numId w:val="36"/>
        </w:numPr>
        <w:jc w:val="both"/>
        <w:rPr>
          <w:sz w:val="24"/>
          <w:szCs w:val="24"/>
        </w:rPr>
      </w:pPr>
      <w:r w:rsidRPr="00D6711E">
        <w:rPr>
          <w:bCs/>
          <w:sz w:val="24"/>
          <w:szCs w:val="24"/>
        </w:rPr>
        <w:t>невыясненные поступления, зачисляемые в бюджеты муниципальных районов.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F46C9D" w:rsidRPr="00D6711E" w:rsidRDefault="00F46C9D" w:rsidP="001C49B6">
      <w:pPr>
        <w:pStyle w:val="ae"/>
        <w:ind w:firstLine="708"/>
        <w:jc w:val="both"/>
        <w:rPr>
          <w:sz w:val="24"/>
          <w:szCs w:val="24"/>
        </w:rPr>
      </w:pPr>
      <w:r w:rsidRPr="00D6711E">
        <w:rPr>
          <w:sz w:val="24"/>
          <w:szCs w:val="24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D6711E" w:rsidRPr="00D6711E" w:rsidRDefault="00D6711E" w:rsidP="00D6711E">
      <w:pPr>
        <w:pStyle w:val="ConsPlusNormal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Безвозмездные поступления в районный бюджет от других бюджетов бюджетной системы Российской Федерации рассчитываются в следующем порядке: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для исчисления безвозмездных поступлений из федерального и краевого бюджетов, ожидаемый объем безвозмездных поступлений определяется на основании объема расходов соответствующих бюджетов, если</w:t>
      </w:r>
      <w:r>
        <w:rPr>
          <w:sz w:val="24"/>
          <w:szCs w:val="24"/>
        </w:rPr>
        <w:t xml:space="preserve"> такой объем расходов определен</w:t>
      </w:r>
      <w:r w:rsidRPr="00D6711E">
        <w:rPr>
          <w:sz w:val="24"/>
          <w:szCs w:val="24"/>
        </w:rPr>
        <w:t>:</w:t>
      </w:r>
    </w:p>
    <w:p w:rsidR="00F46C9D" w:rsidRPr="00AA1EBA" w:rsidRDefault="00F46C9D" w:rsidP="00F46C9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BC0AA4" w:rsidRDefault="00BC0AA4" w:rsidP="00F46C9D">
      <w:pPr>
        <w:spacing w:line="240" w:lineRule="auto"/>
        <w:jc w:val="center"/>
        <w:rPr>
          <w:b/>
          <w:sz w:val="24"/>
          <w:szCs w:val="24"/>
        </w:rPr>
      </w:pPr>
    </w:p>
    <w:p w:rsidR="000B46C3" w:rsidRDefault="000B46C3" w:rsidP="00F46C9D">
      <w:pPr>
        <w:spacing w:line="240" w:lineRule="auto"/>
        <w:jc w:val="center"/>
        <w:rPr>
          <w:b/>
          <w:sz w:val="24"/>
          <w:szCs w:val="24"/>
        </w:rPr>
      </w:pPr>
    </w:p>
    <w:p w:rsidR="00F46C9D" w:rsidRPr="00B45818" w:rsidRDefault="00F46C9D" w:rsidP="00F46C9D">
      <w:pPr>
        <w:spacing w:line="240" w:lineRule="auto"/>
        <w:jc w:val="center"/>
        <w:rPr>
          <w:b/>
          <w:sz w:val="24"/>
          <w:szCs w:val="24"/>
        </w:rPr>
      </w:pPr>
      <w:r w:rsidRPr="00B45818">
        <w:rPr>
          <w:b/>
          <w:sz w:val="24"/>
          <w:szCs w:val="24"/>
        </w:rPr>
        <w:lastRenderedPageBreak/>
        <w:t>Безвозмездные поступления</w:t>
      </w:r>
    </w:p>
    <w:tbl>
      <w:tblPr>
        <w:tblW w:w="9376" w:type="dxa"/>
        <w:tblInd w:w="88" w:type="dxa"/>
        <w:tblLayout w:type="fixed"/>
        <w:tblLook w:val="0000"/>
      </w:tblPr>
      <w:tblGrid>
        <w:gridCol w:w="2855"/>
        <w:gridCol w:w="1560"/>
        <w:gridCol w:w="1842"/>
        <w:gridCol w:w="1418"/>
        <w:gridCol w:w="1701"/>
      </w:tblGrid>
      <w:tr w:rsidR="00746E19" w:rsidRPr="00AA1EBA" w:rsidTr="00746E19">
        <w:trPr>
          <w:trHeight w:val="92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Фактическое поступление  за 202</w:t>
            </w:r>
            <w:r>
              <w:rPr>
                <w:bCs/>
                <w:sz w:val="24"/>
                <w:szCs w:val="24"/>
              </w:rPr>
              <w:t>3</w:t>
            </w:r>
            <w:r w:rsidRPr="00B45818">
              <w:rPr>
                <w:bCs/>
                <w:sz w:val="24"/>
                <w:szCs w:val="24"/>
              </w:rPr>
              <w:t>г.</w:t>
            </w:r>
          </w:p>
          <w:p w:rsidR="00746E19" w:rsidRPr="00B45818" w:rsidRDefault="00746E1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5818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E19" w:rsidRPr="005E4FA2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поступлений в  </w:t>
            </w:r>
            <w:r>
              <w:rPr>
                <w:bCs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г.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19" w:rsidRPr="00B45818" w:rsidRDefault="00746E19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5818">
              <w:rPr>
                <w:sz w:val="24"/>
                <w:szCs w:val="24"/>
              </w:rPr>
              <w:t>Темп роста 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B45818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5</w:t>
            </w:r>
            <w:r w:rsidRPr="00B45818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B45818">
              <w:rPr>
                <w:sz w:val="24"/>
                <w:szCs w:val="24"/>
              </w:rPr>
              <w:t>г.)</w:t>
            </w:r>
          </w:p>
        </w:tc>
      </w:tr>
      <w:tr w:rsidR="00746E19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542713,2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543402,6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8B67CA" w:rsidRDefault="002617C2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65821,1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52410,4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102,7</w:t>
            </w:r>
          </w:p>
        </w:tc>
      </w:tr>
      <w:tr w:rsidR="00746E19" w:rsidRPr="00AA1EBA" w:rsidTr="00746E19">
        <w:trPr>
          <w:trHeight w:val="1443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780A">
              <w:rPr>
                <w:bCs/>
                <w:sz w:val="24"/>
                <w:szCs w:val="24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164856,5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213331,4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218067,9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102,2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305579,7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E65D39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5D39">
              <w:rPr>
                <w:bCs/>
                <w:sz w:val="24"/>
                <w:szCs w:val="24"/>
              </w:rPr>
              <w:t>353949,8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1860CE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99,2</w:t>
            </w:r>
          </w:p>
        </w:tc>
      </w:tr>
      <w:tr w:rsidR="0032732D" w:rsidRPr="00AA1EBA" w:rsidTr="00746E19">
        <w:trPr>
          <w:trHeight w:val="302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32732D" w:rsidP="0032732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E65D39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32D" w:rsidRPr="00217D26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32D" w:rsidRPr="00A036F2" w:rsidRDefault="001860CE" w:rsidP="00746E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746E19" w:rsidRPr="00AA1EBA" w:rsidTr="00746E19">
        <w:trPr>
          <w:trHeight w:val="287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746E19" w:rsidP="00746E1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6780A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36780A" w:rsidRDefault="002C6ACC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-689,4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E19" w:rsidRPr="00217D26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E19" w:rsidRPr="00A036F2" w:rsidRDefault="0032732D" w:rsidP="00746E1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E3245" w:rsidRPr="00FE4ED3" w:rsidRDefault="00CE3245" w:rsidP="00CE3245">
      <w:pPr>
        <w:pStyle w:val="ConsPlusTitle"/>
        <w:ind w:firstLine="708"/>
        <w:jc w:val="both"/>
        <w:rPr>
          <w:b w:val="0"/>
        </w:rPr>
      </w:pPr>
      <w:r w:rsidRPr="003D11A0">
        <w:rPr>
          <w:b w:val="0"/>
        </w:rPr>
        <w:t>Объем межбюджетных трансфертов от других бюджетов в 202</w:t>
      </w:r>
      <w:r w:rsidR="00746E19">
        <w:rPr>
          <w:b w:val="0"/>
        </w:rPr>
        <w:t>5</w:t>
      </w:r>
      <w:r w:rsidRPr="003D11A0">
        <w:rPr>
          <w:b w:val="0"/>
        </w:rPr>
        <w:t xml:space="preserve"> году составит </w:t>
      </w:r>
      <w:r w:rsidR="001860CE">
        <w:rPr>
          <w:b w:val="0"/>
        </w:rPr>
        <w:t>631478,5</w:t>
      </w:r>
      <w:r w:rsidRPr="003D11A0">
        <w:rPr>
          <w:b w:val="0"/>
        </w:rPr>
        <w:t xml:space="preserve"> тыс</w:t>
      </w:r>
      <w:proofErr w:type="gramStart"/>
      <w:r w:rsidRPr="003D11A0">
        <w:rPr>
          <w:b w:val="0"/>
        </w:rPr>
        <w:t>.р</w:t>
      </w:r>
      <w:proofErr w:type="gramEnd"/>
      <w:r w:rsidRPr="003D11A0">
        <w:rPr>
          <w:b w:val="0"/>
        </w:rPr>
        <w:t>уб</w:t>
      </w:r>
      <w:r w:rsidR="000B46C3">
        <w:rPr>
          <w:b w:val="0"/>
        </w:rPr>
        <w:t>лей.</w:t>
      </w:r>
      <w:r>
        <w:rPr>
          <w:b w:val="0"/>
        </w:rPr>
        <w:t xml:space="preserve"> </w:t>
      </w:r>
    </w:p>
    <w:p w:rsidR="00894B49" w:rsidRPr="00894B49" w:rsidRDefault="00894B49" w:rsidP="00AA572A">
      <w:pPr>
        <w:pStyle w:val="ConsPlusTitle"/>
        <w:ind w:firstLine="709"/>
        <w:jc w:val="both"/>
        <w:rPr>
          <w:b w:val="0"/>
          <w:bCs w:val="0"/>
        </w:rPr>
      </w:pPr>
    </w:p>
    <w:p w:rsidR="00A17C33" w:rsidRPr="00150AB8" w:rsidRDefault="00A17C33" w:rsidP="005E4FA2">
      <w:pPr>
        <w:spacing w:after="0" w:line="240" w:lineRule="auto"/>
        <w:jc w:val="center"/>
        <w:rPr>
          <w:b/>
          <w:sz w:val="24"/>
          <w:szCs w:val="24"/>
        </w:rPr>
      </w:pPr>
      <w:r w:rsidRPr="00150AB8">
        <w:rPr>
          <w:b/>
          <w:sz w:val="24"/>
          <w:szCs w:val="24"/>
        </w:rPr>
        <w:t>Основные подходы к формированию расходной части бюджета</w:t>
      </w:r>
      <w:r w:rsidR="006B550B">
        <w:rPr>
          <w:b/>
          <w:sz w:val="24"/>
          <w:szCs w:val="24"/>
        </w:rPr>
        <w:t>.</w:t>
      </w:r>
    </w:p>
    <w:p w:rsidR="00A17C33" w:rsidRDefault="00A17C33" w:rsidP="006B550B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В соответствии с принципами бюджетного законодательства, предлагаемые основные направления расходов районного бюджета на 20</w:t>
      </w:r>
      <w:r w:rsidR="00BC048C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="000B46C3">
        <w:rPr>
          <w:sz w:val="24"/>
          <w:szCs w:val="24"/>
        </w:rPr>
        <w:t xml:space="preserve"> </w:t>
      </w:r>
      <w:r w:rsidR="00BC048C" w:rsidRPr="00150AB8">
        <w:rPr>
          <w:sz w:val="24"/>
          <w:szCs w:val="24"/>
        </w:rPr>
        <w:t>год</w:t>
      </w:r>
      <w:r w:rsidR="005E4FA2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обеспечивают исполнение принятых социальных и иных первоочередных расходных обязательств  </w:t>
      </w:r>
      <w:r w:rsidR="00BC0AA4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</w:t>
      </w:r>
      <w:r w:rsidRPr="00150AB8">
        <w:rPr>
          <w:sz w:val="24"/>
          <w:szCs w:val="24"/>
        </w:rPr>
        <w:t>.</w:t>
      </w:r>
      <w:r w:rsidR="006B550B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Учитывая, что в ближайшей перспективе будут действовать </w:t>
      </w:r>
      <w:r w:rsidR="00FB112E" w:rsidRPr="00150AB8">
        <w:rPr>
          <w:sz w:val="24"/>
          <w:szCs w:val="24"/>
        </w:rPr>
        <w:t>б</w:t>
      </w:r>
      <w:r w:rsidRPr="00150AB8">
        <w:rPr>
          <w:sz w:val="24"/>
          <w:szCs w:val="24"/>
        </w:rPr>
        <w:t>юджетные ограничения, в качестве основных приоритетов расходов районного</w:t>
      </w:r>
      <w:r w:rsidR="00FB112E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бюджета на 20</w:t>
      </w:r>
      <w:r w:rsidR="00622148" w:rsidRPr="00150AB8">
        <w:rPr>
          <w:sz w:val="24"/>
          <w:szCs w:val="24"/>
        </w:rPr>
        <w:t>2</w:t>
      </w:r>
      <w:r w:rsidR="004501D9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определены: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>обеспечение  сбалансированности и устойчивости бюджетной системы района;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6B550B">
        <w:rPr>
          <w:sz w:val="24"/>
          <w:szCs w:val="24"/>
        </w:rPr>
        <w:t xml:space="preserve">безусловное исполнение законодательно установленных публично-нормативных и иных социально значимых обязательств, в том числе </w:t>
      </w:r>
      <w:r w:rsidRPr="006B550B">
        <w:rPr>
          <w:sz w:val="24"/>
          <w:szCs w:val="24"/>
        </w:rPr>
        <w:br/>
        <w:t xml:space="preserve">по выплате социальных пособий и компенсаций; 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эффективности оказания муниципальных услуг;</w:t>
      </w:r>
    </w:p>
    <w:p w:rsidR="00A17C3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повышение качества бюджетного планирования и повышение эффективности использования бюджетных ресурсов;</w:t>
      </w:r>
    </w:p>
    <w:p w:rsidR="00A17C33" w:rsidRPr="007A4593" w:rsidRDefault="00A17C33" w:rsidP="007A4593">
      <w:pPr>
        <w:pStyle w:val="af"/>
        <w:numPr>
          <w:ilvl w:val="0"/>
          <w:numId w:val="17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lastRenderedPageBreak/>
        <w:t>учет результатов оценки эффективности при формировании проекта бюдже</w:t>
      </w:r>
      <w:r w:rsidR="006A5054" w:rsidRPr="007A4593">
        <w:rPr>
          <w:sz w:val="24"/>
          <w:szCs w:val="24"/>
        </w:rPr>
        <w:t>та и уточнения оценки расходов.</w:t>
      </w:r>
    </w:p>
    <w:p w:rsidR="00A17C33" w:rsidRPr="00150AB8" w:rsidRDefault="00A17C33" w:rsidP="00AA572A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AB8">
        <w:rPr>
          <w:rFonts w:ascii="Times New Roman" w:hAnsi="Times New Roman"/>
          <w:b w:val="0"/>
          <w:sz w:val="24"/>
          <w:szCs w:val="24"/>
        </w:rPr>
        <w:t xml:space="preserve">Формирование объема и структуры расходов районного бюджета </w:t>
      </w:r>
      <w:r w:rsidRPr="00150AB8">
        <w:rPr>
          <w:rFonts w:ascii="Times New Roman" w:hAnsi="Times New Roman"/>
          <w:b w:val="0"/>
          <w:sz w:val="24"/>
          <w:szCs w:val="24"/>
        </w:rPr>
        <w:br/>
        <w:t>на 20</w:t>
      </w:r>
      <w:r w:rsidR="00622148" w:rsidRPr="00150AB8">
        <w:rPr>
          <w:rFonts w:ascii="Times New Roman" w:hAnsi="Times New Roman"/>
          <w:b w:val="0"/>
          <w:sz w:val="24"/>
          <w:szCs w:val="24"/>
        </w:rPr>
        <w:t>2</w:t>
      </w:r>
      <w:r w:rsidR="00B80D12">
        <w:rPr>
          <w:rFonts w:ascii="Times New Roman" w:hAnsi="Times New Roman"/>
          <w:b w:val="0"/>
          <w:sz w:val="24"/>
          <w:szCs w:val="24"/>
        </w:rPr>
        <w:t>5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год осуществляется в условиях ограниченных бюджетных </w:t>
      </w:r>
      <w:proofErr w:type="gramStart"/>
      <w:r w:rsidRPr="00150AB8">
        <w:rPr>
          <w:rFonts w:ascii="Times New Roman" w:hAnsi="Times New Roman"/>
          <w:b w:val="0"/>
          <w:sz w:val="24"/>
          <w:szCs w:val="24"/>
        </w:rPr>
        <w:t>возможностей</w:t>
      </w:r>
      <w:proofErr w:type="gramEnd"/>
      <w:r w:rsidRPr="00150AB8">
        <w:rPr>
          <w:rFonts w:ascii="Times New Roman" w:hAnsi="Times New Roman"/>
          <w:b w:val="0"/>
          <w:sz w:val="24"/>
          <w:szCs w:val="24"/>
        </w:rPr>
        <w:t xml:space="preserve"> с учетом обес</w:t>
      </w:r>
      <w:r w:rsidR="007A4593">
        <w:rPr>
          <w:rFonts w:ascii="Times New Roman" w:hAnsi="Times New Roman"/>
          <w:b w:val="0"/>
          <w:sz w:val="24"/>
          <w:szCs w:val="24"/>
        </w:rPr>
        <w:t xml:space="preserve">печения исполнения действующих </w:t>
      </w:r>
      <w:r w:rsidRPr="00150AB8">
        <w:rPr>
          <w:rFonts w:ascii="Times New Roman" w:hAnsi="Times New Roman"/>
          <w:b w:val="0"/>
          <w:sz w:val="24"/>
          <w:szCs w:val="24"/>
        </w:rPr>
        <w:t>расходных обязательств, повышения эффективности бюджетных расходов, сохра</w:t>
      </w:r>
      <w:r w:rsidR="007A4593">
        <w:rPr>
          <w:rFonts w:ascii="Times New Roman" w:hAnsi="Times New Roman"/>
          <w:b w:val="0"/>
          <w:sz w:val="24"/>
          <w:szCs w:val="24"/>
        </w:rPr>
        <w:t>нения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устойчивост</w:t>
      </w:r>
      <w:r w:rsidR="007A4593">
        <w:rPr>
          <w:rFonts w:ascii="Times New Roman" w:hAnsi="Times New Roman"/>
          <w:b w:val="0"/>
          <w:sz w:val="24"/>
          <w:szCs w:val="24"/>
        </w:rPr>
        <w:t>и</w:t>
      </w:r>
      <w:r w:rsidRPr="00150AB8">
        <w:rPr>
          <w:rFonts w:ascii="Times New Roman" w:hAnsi="Times New Roman"/>
          <w:b w:val="0"/>
          <w:sz w:val="24"/>
          <w:szCs w:val="24"/>
        </w:rPr>
        <w:t xml:space="preserve"> районного бюджета. </w:t>
      </w:r>
    </w:p>
    <w:p w:rsidR="00F37817" w:rsidRDefault="00F37817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    </w:t>
      </w:r>
      <w:r w:rsidR="007A4593">
        <w:rPr>
          <w:sz w:val="24"/>
          <w:szCs w:val="24"/>
        </w:rPr>
        <w:tab/>
      </w:r>
      <w:r w:rsidRPr="00150AB8">
        <w:rPr>
          <w:sz w:val="24"/>
          <w:szCs w:val="24"/>
        </w:rPr>
        <w:t>Основные подходы по формированию расходов местного бюджета  на 20</w:t>
      </w:r>
      <w:r w:rsidR="00622148" w:rsidRPr="00150AB8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год: </w:t>
      </w:r>
    </w:p>
    <w:p w:rsidR="007A4593" w:rsidRDefault="00F37817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>объемы бюджетных ассигнований на оплату труда работн</w:t>
      </w:r>
      <w:r w:rsidR="00151D9A" w:rsidRPr="007A4593">
        <w:rPr>
          <w:sz w:val="24"/>
          <w:szCs w:val="24"/>
        </w:rPr>
        <w:t>иков муниципальны</w:t>
      </w:r>
      <w:r w:rsidR="007A4593">
        <w:rPr>
          <w:sz w:val="24"/>
          <w:szCs w:val="24"/>
        </w:rPr>
        <w:t xml:space="preserve">х учреждений  предусматривается </w:t>
      </w:r>
      <w:r w:rsidR="00CF430B" w:rsidRPr="007A4593">
        <w:rPr>
          <w:sz w:val="24"/>
          <w:szCs w:val="24"/>
        </w:rPr>
        <w:t>на 20</w:t>
      </w:r>
      <w:r w:rsidR="00DD53FD" w:rsidRPr="007A4593">
        <w:rPr>
          <w:sz w:val="24"/>
          <w:szCs w:val="24"/>
        </w:rPr>
        <w:t>2</w:t>
      </w:r>
      <w:r w:rsidR="00D62C91">
        <w:rPr>
          <w:sz w:val="24"/>
          <w:szCs w:val="24"/>
        </w:rPr>
        <w:t>5</w:t>
      </w:r>
      <w:r w:rsidR="00CF430B" w:rsidRPr="007A4593">
        <w:rPr>
          <w:sz w:val="24"/>
          <w:szCs w:val="24"/>
        </w:rPr>
        <w:t xml:space="preserve"> год </w:t>
      </w:r>
      <w:r w:rsidR="00151D9A" w:rsidRPr="007A4593">
        <w:rPr>
          <w:sz w:val="24"/>
          <w:szCs w:val="24"/>
        </w:rPr>
        <w:t xml:space="preserve"> с увеличением </w:t>
      </w:r>
      <w:r w:rsidR="001E2805" w:rsidRPr="007A4593">
        <w:rPr>
          <w:sz w:val="24"/>
          <w:szCs w:val="24"/>
        </w:rPr>
        <w:t xml:space="preserve">МРОТ до </w:t>
      </w:r>
      <w:r w:rsidR="00D62C91">
        <w:rPr>
          <w:sz w:val="24"/>
          <w:szCs w:val="24"/>
        </w:rPr>
        <w:t>28</w:t>
      </w:r>
      <w:r w:rsidR="00E01C6C">
        <w:rPr>
          <w:sz w:val="24"/>
          <w:szCs w:val="24"/>
        </w:rPr>
        <w:t>05</w:t>
      </w:r>
      <w:r w:rsidR="00D62C91">
        <w:rPr>
          <w:sz w:val="24"/>
          <w:szCs w:val="24"/>
        </w:rPr>
        <w:t>0</w:t>
      </w:r>
      <w:r w:rsidR="00E01C6C">
        <w:rPr>
          <w:sz w:val="24"/>
          <w:szCs w:val="24"/>
        </w:rPr>
        <w:t>,</w:t>
      </w:r>
      <w:r w:rsidR="00D62C91">
        <w:rPr>
          <w:sz w:val="24"/>
          <w:szCs w:val="24"/>
        </w:rPr>
        <w:t>0</w:t>
      </w:r>
      <w:r w:rsidR="001E2805" w:rsidRPr="007A4593">
        <w:rPr>
          <w:sz w:val="24"/>
          <w:szCs w:val="24"/>
        </w:rPr>
        <w:t xml:space="preserve"> руб.; </w:t>
      </w:r>
    </w:p>
    <w:p w:rsidR="005F4D33" w:rsidRDefault="00B809E9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7A4593">
        <w:rPr>
          <w:sz w:val="24"/>
          <w:szCs w:val="24"/>
        </w:rPr>
        <w:t xml:space="preserve">предусмотрено увеличение бюджетных ассигнований на повышение оплаты труда категорий работников, определенных </w:t>
      </w:r>
      <w:r w:rsidR="007629F8">
        <w:rPr>
          <w:sz w:val="24"/>
          <w:szCs w:val="24"/>
        </w:rPr>
        <w:t xml:space="preserve"> по </w:t>
      </w:r>
      <w:r w:rsidR="00322CB8" w:rsidRPr="007A4593">
        <w:rPr>
          <w:sz w:val="24"/>
          <w:szCs w:val="24"/>
        </w:rPr>
        <w:t xml:space="preserve">указу </w:t>
      </w:r>
      <w:r w:rsidRPr="007A4593">
        <w:rPr>
          <w:sz w:val="24"/>
          <w:szCs w:val="24"/>
        </w:rPr>
        <w:t>П</w:t>
      </w:r>
      <w:r w:rsidR="00322CB8" w:rsidRPr="007A4593">
        <w:rPr>
          <w:sz w:val="24"/>
          <w:szCs w:val="24"/>
        </w:rPr>
        <w:t xml:space="preserve">резидента </w:t>
      </w:r>
      <w:r w:rsidRPr="007A4593">
        <w:rPr>
          <w:sz w:val="24"/>
          <w:szCs w:val="24"/>
        </w:rPr>
        <w:t xml:space="preserve">РФ </w:t>
      </w:r>
      <w:r w:rsidR="00322CB8" w:rsidRPr="007A4593">
        <w:rPr>
          <w:sz w:val="24"/>
          <w:szCs w:val="24"/>
        </w:rPr>
        <w:t>№597 от 07.05.2012г.</w:t>
      </w:r>
      <w:r w:rsidR="005F4D33">
        <w:rPr>
          <w:sz w:val="24"/>
          <w:szCs w:val="24"/>
        </w:rPr>
        <w:t xml:space="preserve"> на</w:t>
      </w:r>
      <w:r w:rsidR="00E01C6C">
        <w:rPr>
          <w:sz w:val="24"/>
          <w:szCs w:val="24"/>
        </w:rPr>
        <w:t xml:space="preserve"> </w:t>
      </w:r>
      <w:r w:rsidR="00D62C91">
        <w:rPr>
          <w:sz w:val="24"/>
          <w:szCs w:val="24"/>
        </w:rPr>
        <w:t>13</w:t>
      </w:r>
      <w:r w:rsidR="00616A76">
        <w:rPr>
          <w:sz w:val="24"/>
          <w:szCs w:val="24"/>
        </w:rPr>
        <w:t>,</w:t>
      </w:r>
      <w:r w:rsidR="00D62C91">
        <w:rPr>
          <w:sz w:val="24"/>
          <w:szCs w:val="24"/>
        </w:rPr>
        <w:t>2</w:t>
      </w:r>
      <w:r w:rsidR="005F4D33">
        <w:rPr>
          <w:sz w:val="24"/>
          <w:szCs w:val="24"/>
        </w:rPr>
        <w:t>% с 01.</w:t>
      </w:r>
      <w:r w:rsidR="00E01C6C">
        <w:rPr>
          <w:sz w:val="24"/>
          <w:szCs w:val="24"/>
        </w:rPr>
        <w:t>10</w:t>
      </w:r>
      <w:r w:rsidR="005F4D33">
        <w:rPr>
          <w:sz w:val="24"/>
          <w:szCs w:val="24"/>
        </w:rPr>
        <w:t>.202</w:t>
      </w:r>
      <w:r w:rsidR="00D62C91">
        <w:rPr>
          <w:sz w:val="24"/>
          <w:szCs w:val="24"/>
        </w:rPr>
        <w:t>5</w:t>
      </w:r>
      <w:r w:rsidR="005F4D33">
        <w:rPr>
          <w:sz w:val="24"/>
          <w:szCs w:val="24"/>
        </w:rPr>
        <w:t>г.</w:t>
      </w:r>
    </w:p>
    <w:p w:rsidR="007A4593" w:rsidRDefault="005F4D33" w:rsidP="007A4593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бюджетным учреждениям, не попадающим под майские указы, повышение заработной платы предусмотрено с 01.10.202</w:t>
      </w:r>
      <w:r w:rsidR="00E40101">
        <w:rPr>
          <w:sz w:val="24"/>
          <w:szCs w:val="24"/>
        </w:rPr>
        <w:t>5</w:t>
      </w:r>
      <w:r w:rsidR="00616A76">
        <w:rPr>
          <w:sz w:val="24"/>
          <w:szCs w:val="24"/>
        </w:rPr>
        <w:t xml:space="preserve">г. на </w:t>
      </w:r>
      <w:r w:rsidR="00E01C6C">
        <w:rPr>
          <w:sz w:val="24"/>
          <w:szCs w:val="24"/>
        </w:rPr>
        <w:t>4</w:t>
      </w:r>
      <w:r w:rsidR="00616A76">
        <w:rPr>
          <w:sz w:val="24"/>
          <w:szCs w:val="24"/>
        </w:rPr>
        <w:t>,5</w:t>
      </w:r>
      <w:r>
        <w:rPr>
          <w:sz w:val="24"/>
          <w:szCs w:val="24"/>
        </w:rPr>
        <w:t>%.</w:t>
      </w:r>
      <w:r w:rsidR="00322CB8" w:rsidRPr="007A4593">
        <w:rPr>
          <w:sz w:val="24"/>
          <w:szCs w:val="24"/>
        </w:rPr>
        <w:t xml:space="preserve"> </w:t>
      </w:r>
      <w:r w:rsidR="00151D9A" w:rsidRPr="007A4593">
        <w:rPr>
          <w:sz w:val="24"/>
          <w:szCs w:val="24"/>
        </w:rPr>
        <w:t xml:space="preserve"> </w:t>
      </w:r>
    </w:p>
    <w:p w:rsidR="00756E59" w:rsidRDefault="005E4FA2" w:rsidP="00D7319A">
      <w:pPr>
        <w:pStyle w:val="af"/>
        <w:numPr>
          <w:ilvl w:val="0"/>
          <w:numId w:val="19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37817" w:rsidRPr="00D7319A">
        <w:rPr>
          <w:sz w:val="24"/>
          <w:szCs w:val="24"/>
        </w:rPr>
        <w:t>асходы на оплату жилищно-коммунальных услуг рассчитаны исходя из объемов услуг и размеров тарифов, утве</w:t>
      </w:r>
      <w:r w:rsidR="00F138DB" w:rsidRPr="00D7319A">
        <w:rPr>
          <w:sz w:val="24"/>
          <w:szCs w:val="24"/>
        </w:rPr>
        <w:t>ржденных для каждой организации, являющейся поставщиком коммунальных услуг.</w:t>
      </w:r>
    </w:p>
    <w:p w:rsidR="008E1C96" w:rsidRDefault="008E1C96" w:rsidP="008E1C96">
      <w:pPr>
        <w:pStyle w:val="af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D1666F" w:rsidRPr="00756E59">
        <w:rPr>
          <w:sz w:val="24"/>
          <w:szCs w:val="24"/>
        </w:rPr>
        <w:t xml:space="preserve"> </w:t>
      </w:r>
      <w:r w:rsidR="005F74CF">
        <w:rPr>
          <w:sz w:val="24"/>
          <w:szCs w:val="24"/>
        </w:rPr>
        <w:t>первому</w:t>
      </w:r>
      <w:r w:rsidR="000B46C3">
        <w:rPr>
          <w:sz w:val="24"/>
          <w:szCs w:val="24"/>
        </w:rPr>
        <w:t xml:space="preserve"> </w:t>
      </w:r>
      <w:r w:rsidR="00111C8F" w:rsidRPr="00756E59">
        <w:rPr>
          <w:sz w:val="24"/>
          <w:szCs w:val="24"/>
        </w:rPr>
        <w:t>чтени</w:t>
      </w:r>
      <w:r w:rsidR="00E34830" w:rsidRPr="00756E59">
        <w:rPr>
          <w:sz w:val="24"/>
          <w:szCs w:val="24"/>
        </w:rPr>
        <w:t>ю</w:t>
      </w:r>
      <w:r w:rsidR="00672D0F" w:rsidRPr="00756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расходы районного бюджета, без </w:t>
      </w:r>
      <w:r w:rsidRPr="00150AB8">
        <w:rPr>
          <w:sz w:val="24"/>
          <w:szCs w:val="24"/>
        </w:rPr>
        <w:t xml:space="preserve">передаваемых полномочий краевого бюджета, составляют </w:t>
      </w:r>
      <w:r w:rsidR="00A83401">
        <w:rPr>
          <w:sz w:val="24"/>
          <w:szCs w:val="24"/>
        </w:rPr>
        <w:t>272161</w:t>
      </w:r>
      <w:r w:rsidRPr="00150AB8">
        <w:rPr>
          <w:sz w:val="24"/>
          <w:szCs w:val="24"/>
        </w:rPr>
        <w:t>,</w:t>
      </w:r>
      <w:r w:rsidR="00A8340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тыс. руб</w:t>
      </w:r>
      <w:r w:rsidR="000B46C3">
        <w:rPr>
          <w:sz w:val="24"/>
          <w:szCs w:val="24"/>
        </w:rPr>
        <w:t>лей</w:t>
      </w:r>
      <w:r w:rsidRPr="00150AB8">
        <w:rPr>
          <w:sz w:val="24"/>
          <w:szCs w:val="24"/>
        </w:rPr>
        <w:t xml:space="preserve"> из них:</w:t>
      </w:r>
    </w:p>
    <w:p w:rsidR="00D7319A" w:rsidRDefault="00D7319A" w:rsidP="008E1C96">
      <w:pPr>
        <w:pStyle w:val="af"/>
        <w:numPr>
          <w:ilvl w:val="0"/>
          <w:numId w:val="24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заработная плата с начислениями на фонд оплаты труда</w:t>
      </w:r>
      <w:r w:rsidR="00DD532F">
        <w:rPr>
          <w:sz w:val="24"/>
          <w:szCs w:val="24"/>
        </w:rPr>
        <w:t xml:space="preserve"> </w:t>
      </w:r>
      <w:r w:rsidR="00A83401">
        <w:rPr>
          <w:sz w:val="24"/>
          <w:szCs w:val="24"/>
        </w:rPr>
        <w:t>148506,0</w:t>
      </w:r>
      <w:r w:rsidR="000B46C3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тыс.</w:t>
      </w:r>
      <w:r w:rsidR="00A83401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D7319A" w:rsidRDefault="00D7319A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коммунальные услуги </w:t>
      </w:r>
      <w:r w:rsidR="00A83401">
        <w:rPr>
          <w:sz w:val="24"/>
          <w:szCs w:val="24"/>
        </w:rPr>
        <w:t>38200</w:t>
      </w:r>
      <w:r w:rsidR="00EE5177" w:rsidRPr="00377094">
        <w:rPr>
          <w:sz w:val="24"/>
          <w:szCs w:val="24"/>
        </w:rPr>
        <w:t>,0</w:t>
      </w:r>
      <w:r w:rsidR="00DD532F"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 w:rsidR="00DD532F">
        <w:rPr>
          <w:sz w:val="24"/>
          <w:szCs w:val="24"/>
        </w:rPr>
        <w:t>руб.</w:t>
      </w:r>
      <w:r>
        <w:rPr>
          <w:sz w:val="24"/>
          <w:szCs w:val="24"/>
        </w:rPr>
        <w:t>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угля 14020,0 тыс. руб.;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командировочные расходы 311,0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1037,0 тыс. руб.;</w:t>
      </w:r>
    </w:p>
    <w:p w:rsidR="00A83401" w:rsidRDefault="00A83401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транспортные расходы 1507,0 тыс. руб.;</w:t>
      </w:r>
    </w:p>
    <w:p w:rsidR="00A83401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имущества 3086,0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прочие работы, услуги 17459,70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расходы 1848,0 тыс. руб.;</w:t>
      </w:r>
    </w:p>
    <w:p w:rsidR="00FF7925" w:rsidRDefault="00FF7925" w:rsidP="00D7319A">
      <w:pPr>
        <w:pStyle w:val="af"/>
        <w:numPr>
          <w:ilvl w:val="0"/>
          <w:numId w:val="23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запасы 9817,0 тыс. руб.;</w:t>
      </w:r>
    </w:p>
    <w:p w:rsidR="00F138DB" w:rsidRDefault="00F138DB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801CFC">
        <w:rPr>
          <w:sz w:val="24"/>
          <w:szCs w:val="24"/>
        </w:rPr>
        <w:t xml:space="preserve">дотация поселениям </w:t>
      </w:r>
      <w:r w:rsidR="00377094">
        <w:rPr>
          <w:sz w:val="24"/>
          <w:szCs w:val="24"/>
        </w:rPr>
        <w:t>9421,5</w:t>
      </w:r>
      <w:r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тыс.</w:t>
      </w:r>
      <w:r w:rsidR="00EE5177" w:rsidRPr="00801CFC">
        <w:rPr>
          <w:sz w:val="24"/>
          <w:szCs w:val="24"/>
        </w:rPr>
        <w:t xml:space="preserve"> </w:t>
      </w:r>
      <w:r w:rsidR="00A82A87" w:rsidRPr="00801CFC">
        <w:rPr>
          <w:sz w:val="24"/>
          <w:szCs w:val="24"/>
        </w:rPr>
        <w:t>руб.;</w:t>
      </w:r>
      <w:r w:rsidR="00C63D5B" w:rsidRPr="00801CFC">
        <w:rPr>
          <w:sz w:val="24"/>
          <w:szCs w:val="24"/>
        </w:rPr>
        <w:t xml:space="preserve"> </w:t>
      </w:r>
    </w:p>
    <w:p w:rsidR="00FF7925" w:rsidRPr="00801CFC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иные межбюджетные трансферты 3983,0 тыс. руб.;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доплата к пенсии муниципальным служащим </w:t>
      </w:r>
      <w:r w:rsidR="00E44042">
        <w:rPr>
          <w:sz w:val="24"/>
          <w:szCs w:val="24"/>
        </w:rPr>
        <w:t>1038</w:t>
      </w:r>
      <w:r>
        <w:rPr>
          <w:sz w:val="24"/>
          <w:szCs w:val="24"/>
        </w:rPr>
        <w:t>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1556C7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резервный фонд 100,0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1556C7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дорожный фонд </w:t>
      </w:r>
      <w:r w:rsidR="00311215">
        <w:rPr>
          <w:sz w:val="24"/>
          <w:szCs w:val="24"/>
        </w:rPr>
        <w:t>12037</w:t>
      </w:r>
      <w:r w:rsidR="00E44042">
        <w:rPr>
          <w:sz w:val="24"/>
          <w:szCs w:val="24"/>
        </w:rPr>
        <w:t>,</w:t>
      </w:r>
      <w:r w:rsidR="00311215">
        <w:rPr>
          <w:sz w:val="24"/>
          <w:szCs w:val="24"/>
        </w:rPr>
        <w:t>9</w:t>
      </w:r>
      <w:r>
        <w:rPr>
          <w:sz w:val="24"/>
          <w:szCs w:val="24"/>
        </w:rPr>
        <w:t xml:space="preserve"> тыс.</w:t>
      </w:r>
      <w:r w:rsidR="00EE5177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5E4FA2">
        <w:rPr>
          <w:sz w:val="24"/>
          <w:szCs w:val="24"/>
        </w:rPr>
        <w:t>;</w:t>
      </w:r>
    </w:p>
    <w:p w:rsidR="00116A31" w:rsidRDefault="00715BF1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 w:rsidRPr="00116A31">
        <w:rPr>
          <w:sz w:val="24"/>
          <w:szCs w:val="24"/>
        </w:rPr>
        <w:t>обслуживание муниципального долга 40,0 тыс.</w:t>
      </w:r>
      <w:r w:rsidR="00EE5177" w:rsidRPr="00116A31">
        <w:rPr>
          <w:sz w:val="24"/>
          <w:szCs w:val="24"/>
        </w:rPr>
        <w:t xml:space="preserve"> </w:t>
      </w:r>
      <w:r w:rsidRPr="00116A31">
        <w:rPr>
          <w:sz w:val="24"/>
          <w:szCs w:val="24"/>
        </w:rPr>
        <w:t>руб.</w:t>
      </w:r>
      <w:r w:rsidR="00FF7925">
        <w:rPr>
          <w:sz w:val="24"/>
          <w:szCs w:val="24"/>
        </w:rPr>
        <w:t>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программы 3249,0 тыс. руб.;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погашение исполнительных листов 6000,0 тыс. руб.;</w:t>
      </w:r>
    </w:p>
    <w:p w:rsidR="00FF7925" w:rsidRDefault="00FF7925" w:rsidP="00F138DB">
      <w:pPr>
        <w:pStyle w:val="af"/>
        <w:numPr>
          <w:ilvl w:val="0"/>
          <w:numId w:val="21"/>
        </w:numPr>
        <w:spacing w:after="0"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редакция газеты 500,0 тыс. руб.;</w:t>
      </w:r>
    </w:p>
    <w:p w:rsidR="00D7319A" w:rsidRDefault="00D91573" w:rsidP="00AA572A">
      <w:pPr>
        <w:spacing w:after="0" w:line="240" w:lineRule="auto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 </w:t>
      </w:r>
    </w:p>
    <w:p w:rsidR="00643DE4" w:rsidRDefault="00D7319A" w:rsidP="00AA57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7817" w:rsidRPr="00150AB8">
        <w:rPr>
          <w:sz w:val="24"/>
          <w:szCs w:val="24"/>
        </w:rPr>
        <w:t>Расчет дотаций из районного фонда финансовой поддержки поселений рассчитан исходя из численности постоянного населения на 01.01.20</w:t>
      </w:r>
      <w:r w:rsidR="00397CD6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4</w:t>
      </w:r>
      <w:r w:rsidR="00F37817" w:rsidRPr="00150AB8">
        <w:rPr>
          <w:sz w:val="24"/>
          <w:szCs w:val="24"/>
        </w:rPr>
        <w:t xml:space="preserve">г, </w:t>
      </w:r>
      <w:r w:rsidR="00896C5C">
        <w:rPr>
          <w:sz w:val="24"/>
          <w:szCs w:val="24"/>
        </w:rPr>
        <w:t>общей потребности</w:t>
      </w:r>
      <w:r w:rsidR="00F37817" w:rsidRPr="00150AB8">
        <w:rPr>
          <w:sz w:val="24"/>
          <w:szCs w:val="24"/>
        </w:rPr>
        <w:t xml:space="preserve">  в расходах </w:t>
      </w:r>
      <w:r w:rsidR="00896C5C">
        <w:rPr>
          <w:sz w:val="24"/>
          <w:szCs w:val="24"/>
        </w:rPr>
        <w:t xml:space="preserve">поселения </w:t>
      </w:r>
      <w:r w:rsidR="00F37817" w:rsidRPr="00150AB8">
        <w:rPr>
          <w:sz w:val="24"/>
          <w:szCs w:val="24"/>
        </w:rPr>
        <w:t>на 20</w:t>
      </w:r>
      <w:r w:rsidR="00622148" w:rsidRPr="00150AB8">
        <w:rPr>
          <w:sz w:val="24"/>
          <w:szCs w:val="24"/>
        </w:rPr>
        <w:t>2</w:t>
      </w:r>
      <w:r w:rsidR="00221277">
        <w:rPr>
          <w:sz w:val="24"/>
          <w:szCs w:val="24"/>
        </w:rPr>
        <w:t>5</w:t>
      </w:r>
      <w:r w:rsidR="00F37817" w:rsidRPr="00150AB8">
        <w:rPr>
          <w:sz w:val="24"/>
          <w:szCs w:val="24"/>
        </w:rPr>
        <w:t xml:space="preserve"> год</w:t>
      </w:r>
      <w:r w:rsidR="00AA33A7" w:rsidRPr="00150AB8">
        <w:rPr>
          <w:sz w:val="24"/>
          <w:szCs w:val="24"/>
        </w:rPr>
        <w:t>,</w:t>
      </w:r>
      <w:r w:rsidR="00896C5C">
        <w:rPr>
          <w:sz w:val="24"/>
          <w:szCs w:val="24"/>
        </w:rPr>
        <w:t xml:space="preserve"> потребности поселения в расходах на коммунальные услуги</w:t>
      </w:r>
      <w:r w:rsidR="003C7715" w:rsidRPr="00150AB8">
        <w:rPr>
          <w:sz w:val="24"/>
          <w:szCs w:val="24"/>
        </w:rPr>
        <w:t>,</w:t>
      </w:r>
      <w:r w:rsidR="00F37817" w:rsidRPr="00150AB8">
        <w:rPr>
          <w:sz w:val="24"/>
          <w:szCs w:val="24"/>
        </w:rPr>
        <w:t xml:space="preserve"> расстояния до районного центра, налогового потенциала</w:t>
      </w:r>
      <w:r w:rsidR="00896C5C">
        <w:rPr>
          <w:sz w:val="24"/>
          <w:szCs w:val="24"/>
        </w:rPr>
        <w:t xml:space="preserve"> поселения.</w:t>
      </w:r>
    </w:p>
    <w:p w:rsidR="00CB315F" w:rsidRPr="00150AB8" w:rsidRDefault="00CB315F" w:rsidP="00CB315F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Бюджетные ассигнования на исполнение</w:t>
      </w:r>
      <w:r w:rsidRPr="00150AB8">
        <w:rPr>
          <w:iCs/>
          <w:sz w:val="24"/>
          <w:szCs w:val="24"/>
        </w:rPr>
        <w:t xml:space="preserve"> законодательно установленных публично-нормативных и иных социально значимых обязательств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при сохранении размера выплат предусмотрены с учетом изменения численности граждан, имеющих право на получение мер социальной поддержки.</w:t>
      </w:r>
    </w:p>
    <w:p w:rsidR="00062A10" w:rsidRDefault="00CB315F" w:rsidP="00721BD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проекте бюджета к</w:t>
      </w:r>
      <w:r w:rsidR="00734BD4">
        <w:rPr>
          <w:sz w:val="24"/>
          <w:szCs w:val="24"/>
        </w:rPr>
        <w:t xml:space="preserve">о </w:t>
      </w:r>
      <w:r w:rsidR="00477136"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 xml:space="preserve"> </w:t>
      </w:r>
      <w:r w:rsidR="00734BD4">
        <w:rPr>
          <w:sz w:val="24"/>
          <w:szCs w:val="24"/>
        </w:rPr>
        <w:t>второму</w:t>
      </w:r>
      <w:r w:rsidR="004771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6E59">
        <w:rPr>
          <w:sz w:val="24"/>
          <w:szCs w:val="24"/>
        </w:rPr>
        <w:t>чтению</w:t>
      </w:r>
      <w:r w:rsidRPr="00150AB8">
        <w:rPr>
          <w:sz w:val="24"/>
          <w:szCs w:val="24"/>
        </w:rPr>
        <w:t xml:space="preserve"> общий объем бюджетных ассигнований на исполнение публичных нормативных обязательств на 202</w:t>
      </w:r>
      <w:r w:rsidR="00366D3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год определен в сумме </w:t>
      </w:r>
      <w:r w:rsidR="005122AA">
        <w:rPr>
          <w:sz w:val="24"/>
          <w:szCs w:val="24"/>
        </w:rPr>
        <w:t>19552,2</w:t>
      </w:r>
      <w:r w:rsidR="000B46C3">
        <w:rPr>
          <w:sz w:val="24"/>
          <w:szCs w:val="24"/>
        </w:rPr>
        <w:t xml:space="preserve">   тыс</w:t>
      </w:r>
      <w:proofErr w:type="gramStart"/>
      <w:r w:rsidR="000B46C3">
        <w:rPr>
          <w:sz w:val="24"/>
          <w:szCs w:val="24"/>
        </w:rPr>
        <w:t>.р</w:t>
      </w:r>
      <w:proofErr w:type="gramEnd"/>
      <w:r w:rsidR="000B46C3">
        <w:rPr>
          <w:sz w:val="24"/>
          <w:szCs w:val="24"/>
        </w:rPr>
        <w:t>ублей.</w:t>
      </w:r>
      <w:r w:rsidRPr="00150AB8">
        <w:rPr>
          <w:sz w:val="24"/>
          <w:szCs w:val="24"/>
        </w:rPr>
        <w:t xml:space="preserve">         </w:t>
      </w:r>
    </w:p>
    <w:p w:rsidR="000B46C3" w:rsidRDefault="000B46C3" w:rsidP="00B23D07">
      <w:pPr>
        <w:spacing w:after="0" w:line="240" w:lineRule="auto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B46C3" w:rsidRDefault="000B46C3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C093E" w:rsidRDefault="002C093E" w:rsidP="000B46C3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C093E">
        <w:rPr>
          <w:b/>
          <w:sz w:val="24"/>
          <w:szCs w:val="24"/>
        </w:rPr>
        <w:t>Прогнозирование расходов бюджета.</w:t>
      </w:r>
    </w:p>
    <w:p w:rsidR="00721BD4" w:rsidRDefault="00721BD4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76"/>
        <w:gridCol w:w="1125"/>
        <w:gridCol w:w="1276"/>
        <w:gridCol w:w="1275"/>
        <w:gridCol w:w="1276"/>
        <w:gridCol w:w="1418"/>
        <w:gridCol w:w="1275"/>
      </w:tblGrid>
      <w:tr w:rsidR="00B54E12" w:rsidRPr="00014895" w:rsidTr="000B46C3">
        <w:tc>
          <w:tcPr>
            <w:tcW w:w="198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proofErr w:type="spellStart"/>
            <w:r w:rsidRPr="000B46C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25" w:type="dxa"/>
            <w:vMerge w:val="restart"/>
          </w:tcPr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Бюджет на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>год</w:t>
            </w:r>
          </w:p>
          <w:p w:rsidR="00B54E12" w:rsidRPr="000B46C3" w:rsidRDefault="00B54E12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4E12" w:rsidRPr="000B46C3" w:rsidRDefault="00B54E12" w:rsidP="00D740F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Ожидаемое исполнение 202</w:t>
            </w:r>
            <w:r w:rsidR="00D740F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244" w:type="dxa"/>
            <w:gridSpan w:val="4"/>
          </w:tcPr>
          <w:p w:rsidR="00B54E12" w:rsidRPr="000B46C3" w:rsidRDefault="00B54E12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202</w:t>
            </w:r>
            <w:r w:rsidR="00B80D1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</w:tc>
      </w:tr>
      <w:tr w:rsidR="008F36BD" w:rsidRPr="00014895" w:rsidTr="000B46C3">
        <w:tc>
          <w:tcPr>
            <w:tcW w:w="198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36BD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 </w:t>
            </w:r>
          </w:p>
          <w:p w:rsidR="000B112B" w:rsidRPr="000B46C3" w:rsidRDefault="000B112B" w:rsidP="00CB5B19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(первое чтение)</w:t>
            </w:r>
          </w:p>
        </w:tc>
        <w:tc>
          <w:tcPr>
            <w:tcW w:w="1276" w:type="dxa"/>
          </w:tcPr>
          <w:p w:rsidR="008F36BD" w:rsidRPr="000B46C3" w:rsidRDefault="008F36BD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Прогноз на 202</w:t>
            </w:r>
            <w:r w:rsidR="00D740F2" w:rsidRPr="000B46C3">
              <w:rPr>
                <w:sz w:val="20"/>
                <w:szCs w:val="20"/>
              </w:rPr>
              <w:t>5</w:t>
            </w:r>
            <w:r w:rsidRPr="000B46C3">
              <w:rPr>
                <w:sz w:val="20"/>
                <w:szCs w:val="20"/>
              </w:rPr>
              <w:t xml:space="preserve"> год</w:t>
            </w:r>
          </w:p>
          <w:p w:rsidR="000B112B" w:rsidRPr="000B46C3" w:rsidRDefault="000B112B" w:rsidP="001A3618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(второе чтение)</w:t>
            </w:r>
          </w:p>
        </w:tc>
        <w:tc>
          <w:tcPr>
            <w:tcW w:w="1418" w:type="dxa"/>
          </w:tcPr>
          <w:p w:rsidR="008F36BD" w:rsidRPr="000B46C3" w:rsidRDefault="008F36BD" w:rsidP="00B80D12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к ожидаемому исполнению 202</w:t>
            </w:r>
            <w:r w:rsidR="00B80D12" w:rsidRPr="000B46C3">
              <w:rPr>
                <w:sz w:val="20"/>
                <w:szCs w:val="20"/>
              </w:rPr>
              <w:t>4</w:t>
            </w:r>
            <w:r w:rsidRPr="000B4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% удельный вес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ВСЕГО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C97B71" w:rsidRPr="000B46C3">
              <w:rPr>
                <w:sz w:val="20"/>
                <w:szCs w:val="20"/>
              </w:rPr>
              <w:t>92470,1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839667,0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58</w:t>
            </w:r>
            <w:r w:rsidR="00A36601" w:rsidRPr="000B46C3">
              <w:rPr>
                <w:sz w:val="20"/>
                <w:szCs w:val="20"/>
              </w:rPr>
              <w:t>7767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784020,3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«Общегосударственные вопросы»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01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59275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95496,4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tabs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C97B71" w:rsidRPr="000B46C3">
              <w:rPr>
                <w:sz w:val="20"/>
                <w:szCs w:val="20"/>
              </w:rPr>
              <w:t>3969</w:t>
            </w:r>
            <w:r w:rsidRPr="000B46C3">
              <w:rPr>
                <w:sz w:val="20"/>
                <w:szCs w:val="20"/>
              </w:rPr>
              <w:t>,</w:t>
            </w:r>
            <w:r w:rsidR="00C97B71"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tabs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71525,7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оборона»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02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2469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2472,5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845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2971,4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1622AE">
              <w:rPr>
                <w:sz w:val="20"/>
                <w:szCs w:val="20"/>
              </w:rPr>
              <w:t>20,2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bCs/>
                <w:sz w:val="20"/>
                <w:szCs w:val="20"/>
              </w:rPr>
            </w:pPr>
            <w:r w:rsidRPr="000B46C3">
              <w:rPr>
                <w:bCs/>
                <w:sz w:val="20"/>
                <w:szCs w:val="20"/>
              </w:rPr>
              <w:t>«Национальная безопасность и правоохранительная деятельность»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03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152B28" w:rsidRPr="000B46C3">
              <w:rPr>
                <w:sz w:val="20"/>
                <w:szCs w:val="20"/>
              </w:rPr>
              <w:t>809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2890,8</w:t>
            </w:r>
          </w:p>
        </w:tc>
        <w:tc>
          <w:tcPr>
            <w:tcW w:w="1275" w:type="dxa"/>
          </w:tcPr>
          <w:p w:rsidR="008F36BD" w:rsidRPr="000B46C3" w:rsidRDefault="000B112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C97B71" w:rsidRPr="000B46C3">
              <w:rPr>
                <w:sz w:val="20"/>
                <w:szCs w:val="20"/>
              </w:rPr>
              <w:t>782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«Национальная экономика»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04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23890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31389,8</w:t>
            </w:r>
          </w:p>
        </w:tc>
        <w:tc>
          <w:tcPr>
            <w:tcW w:w="1275" w:type="dxa"/>
          </w:tcPr>
          <w:p w:rsidR="008F36BD" w:rsidRPr="000B46C3" w:rsidRDefault="007D0085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16420</w:t>
            </w:r>
            <w:r w:rsidR="000B112B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19191,9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275" w:type="dxa"/>
          </w:tcPr>
          <w:p w:rsidR="008F36BD" w:rsidRPr="000B46C3" w:rsidRDefault="00670202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05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6043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72760,9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28026</w:t>
            </w:r>
            <w:r w:rsidR="000B112B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54113,1</w:t>
            </w:r>
          </w:p>
        </w:tc>
        <w:tc>
          <w:tcPr>
            <w:tcW w:w="1418" w:type="dxa"/>
          </w:tcPr>
          <w:p w:rsidR="008F36BD" w:rsidRPr="000B46C3" w:rsidRDefault="00627440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1622AE">
              <w:rPr>
                <w:sz w:val="20"/>
                <w:szCs w:val="20"/>
              </w:rPr>
              <w:t>4,4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07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432586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F36BD" w:rsidRPr="000B46C3" w:rsidRDefault="009461A6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1622AE">
              <w:rPr>
                <w:sz w:val="20"/>
                <w:szCs w:val="20"/>
              </w:rPr>
              <w:t>19459,6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</w:t>
            </w:r>
            <w:r w:rsidR="007D0085" w:rsidRPr="000B46C3">
              <w:rPr>
                <w:sz w:val="20"/>
                <w:szCs w:val="20"/>
              </w:rPr>
              <w:t>23047</w:t>
            </w:r>
            <w:r w:rsidR="000B112B" w:rsidRPr="000B46C3">
              <w:rPr>
                <w:sz w:val="20"/>
                <w:szCs w:val="20"/>
              </w:rPr>
              <w:t>,</w:t>
            </w:r>
            <w:r w:rsidR="007D0085" w:rsidRPr="000B46C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549065,3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</w:t>
            </w:r>
            <w:r w:rsidR="00F33604">
              <w:rPr>
                <w:sz w:val="20"/>
                <w:szCs w:val="20"/>
              </w:rPr>
              <w:t>0</w:t>
            </w:r>
            <w:r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0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«Культура, кинематография»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08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19457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50393,0</w:t>
            </w:r>
          </w:p>
        </w:tc>
        <w:tc>
          <w:tcPr>
            <w:tcW w:w="1275" w:type="dxa"/>
          </w:tcPr>
          <w:p w:rsidR="008F36BD" w:rsidRPr="000B46C3" w:rsidRDefault="007F2CEC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C97B71" w:rsidRPr="000B46C3">
              <w:rPr>
                <w:sz w:val="20"/>
                <w:szCs w:val="20"/>
              </w:rPr>
              <w:t>9742</w:t>
            </w:r>
            <w:r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F36BD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36BD" w:rsidRPr="000B46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trike/>
                <w:color w:val="FF0000"/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«Социальная политика»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36587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49373,3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33618</w:t>
            </w:r>
            <w:r w:rsidR="007F2CEC" w:rsidRPr="000B46C3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40419,4</w:t>
            </w:r>
          </w:p>
        </w:tc>
        <w:tc>
          <w:tcPr>
            <w:tcW w:w="1418" w:type="dxa"/>
          </w:tcPr>
          <w:p w:rsidR="008F36BD" w:rsidRPr="000B46C3" w:rsidRDefault="00627440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8</w:t>
            </w:r>
            <w:r w:rsidR="001622AE">
              <w:rPr>
                <w:sz w:val="20"/>
                <w:szCs w:val="20"/>
              </w:rPr>
              <w:t>1</w:t>
            </w:r>
            <w:r w:rsidR="008F36BD" w:rsidRPr="000B46C3">
              <w:rPr>
                <w:sz w:val="20"/>
                <w:szCs w:val="20"/>
              </w:rPr>
              <w:t>,</w:t>
            </w:r>
            <w:r w:rsidR="001622A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F36BD" w:rsidRPr="000B46C3" w:rsidRDefault="006230F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5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2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«Физкультура и спорт»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11</w:t>
            </w:r>
          </w:p>
        </w:tc>
        <w:tc>
          <w:tcPr>
            <w:tcW w:w="1125" w:type="dxa"/>
          </w:tcPr>
          <w:p w:rsidR="008F36BD" w:rsidRPr="000B46C3" w:rsidRDefault="00152B28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36</w:t>
            </w:r>
            <w:r w:rsidR="008F36BD" w:rsidRPr="000B46C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5473,1</w:t>
            </w:r>
          </w:p>
        </w:tc>
        <w:tc>
          <w:tcPr>
            <w:tcW w:w="1275" w:type="dxa"/>
          </w:tcPr>
          <w:p w:rsidR="008F36BD" w:rsidRPr="000B46C3" w:rsidRDefault="00C97B7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7854,0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10650,0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194,6</w:t>
            </w:r>
          </w:p>
        </w:tc>
        <w:tc>
          <w:tcPr>
            <w:tcW w:w="1275" w:type="dxa"/>
          </w:tcPr>
          <w:p w:rsidR="008F36BD" w:rsidRPr="000B46C3" w:rsidRDefault="006230F1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</w:t>
            </w:r>
            <w:r w:rsidR="008F36BD" w:rsidRPr="000B46C3">
              <w:rPr>
                <w:sz w:val="20"/>
                <w:szCs w:val="20"/>
              </w:rPr>
              <w:t>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595770" w:rsidRPr="00014895" w:rsidTr="000B46C3">
        <w:tc>
          <w:tcPr>
            <w:tcW w:w="1985" w:type="dxa"/>
          </w:tcPr>
          <w:p w:rsidR="00595770" w:rsidRPr="000B46C3" w:rsidRDefault="00595770" w:rsidP="002C093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«Средства массовой информации»</w:t>
            </w:r>
          </w:p>
        </w:tc>
        <w:tc>
          <w:tcPr>
            <w:tcW w:w="576" w:type="dxa"/>
          </w:tcPr>
          <w:p w:rsidR="00595770" w:rsidRPr="000B46C3" w:rsidRDefault="00595770" w:rsidP="002C0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5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95770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</w:tcPr>
          <w:p w:rsidR="00595770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595770" w:rsidRPr="000B46C3" w:rsidRDefault="00F33604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«Обслуживание государственного и муниципального долга»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8F36BD" w:rsidRPr="000B46C3" w:rsidRDefault="007F2CEC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0,1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«Межбюджетные трансферты общего характера бюджетам субъектов Российской Федерации и муниципальных образований»</w:t>
            </w:r>
          </w:p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14</w:t>
            </w: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</w:t>
            </w:r>
            <w:r w:rsidR="00152B28" w:rsidRPr="000B46C3">
              <w:rPr>
                <w:sz w:val="20"/>
                <w:szCs w:val="20"/>
              </w:rPr>
              <w:t>276</w:t>
            </w:r>
            <w:r w:rsidRPr="000B46C3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8F36BD" w:rsidRPr="000B46C3" w:rsidRDefault="009461A6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9917</w:t>
            </w:r>
            <w:r w:rsidR="008F36BD" w:rsidRPr="000B46C3">
              <w:rPr>
                <w:sz w:val="20"/>
                <w:szCs w:val="20"/>
              </w:rPr>
              <w:t>,</w:t>
            </w:r>
            <w:r w:rsidRPr="000B46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F36BD" w:rsidRPr="000B46C3" w:rsidRDefault="00A5140B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9421</w:t>
            </w:r>
            <w:r w:rsidR="007F2CEC" w:rsidRPr="000B46C3">
              <w:rPr>
                <w:sz w:val="20"/>
                <w:szCs w:val="20"/>
              </w:rPr>
              <w:t>,</w:t>
            </w:r>
            <w:r w:rsidR="00EF7BB6" w:rsidRPr="000B46C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F36BD" w:rsidRPr="000B46C3" w:rsidRDefault="00595770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11004,5</w:t>
            </w:r>
          </w:p>
        </w:tc>
        <w:tc>
          <w:tcPr>
            <w:tcW w:w="1418" w:type="dxa"/>
          </w:tcPr>
          <w:p w:rsidR="008F36BD" w:rsidRPr="000B46C3" w:rsidRDefault="001622AE" w:rsidP="00B2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F36BD" w:rsidRPr="000B46C3">
              <w:rPr>
                <w:sz w:val="20"/>
                <w:szCs w:val="20"/>
              </w:rPr>
              <w:t>,</w:t>
            </w:r>
            <w:r w:rsidR="00627440" w:rsidRPr="000B46C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1,</w:t>
            </w:r>
            <w:r w:rsidR="00F33604">
              <w:rPr>
                <w:sz w:val="20"/>
                <w:szCs w:val="20"/>
              </w:rPr>
              <w:t>4</w:t>
            </w:r>
          </w:p>
        </w:tc>
      </w:tr>
      <w:tr w:rsidR="008F36BD" w:rsidRPr="00014895" w:rsidTr="000B46C3">
        <w:tc>
          <w:tcPr>
            <w:tcW w:w="1985" w:type="dxa"/>
          </w:tcPr>
          <w:p w:rsidR="008F36BD" w:rsidRPr="000B46C3" w:rsidRDefault="008F36BD" w:rsidP="002C093E">
            <w:pPr>
              <w:pStyle w:val="ae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6" w:type="dxa"/>
          </w:tcPr>
          <w:p w:rsidR="008F36BD" w:rsidRPr="000B46C3" w:rsidRDefault="008F36BD" w:rsidP="002C0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F36BD" w:rsidRPr="000B46C3" w:rsidRDefault="008F36BD" w:rsidP="00B23D07">
            <w:pPr>
              <w:jc w:val="center"/>
              <w:rPr>
                <w:sz w:val="20"/>
                <w:szCs w:val="20"/>
              </w:rPr>
            </w:pPr>
            <w:r w:rsidRPr="000B46C3">
              <w:rPr>
                <w:sz w:val="20"/>
                <w:szCs w:val="20"/>
              </w:rPr>
              <w:t>-</w:t>
            </w:r>
          </w:p>
        </w:tc>
      </w:tr>
    </w:tbl>
    <w:p w:rsidR="002C093E" w:rsidRPr="002C093E" w:rsidRDefault="002C093E" w:rsidP="002C093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53853" w:rsidRPr="00150AB8" w:rsidRDefault="00153853" w:rsidP="001C179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«Общегосударственные вопросы»</w:t>
      </w:r>
    </w:p>
    <w:p w:rsidR="00153853" w:rsidRPr="001C1790" w:rsidRDefault="00153853" w:rsidP="001C179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По разделу «Общегосударственные вопросы» бюджетные ассигнования на исполнение обязательств характеризуются следующими данными:</w:t>
      </w:r>
      <w:r w:rsidR="001C1790">
        <w:rPr>
          <w:rFonts w:ascii="Times New Roman" w:hAnsi="Times New Roman"/>
          <w:sz w:val="24"/>
          <w:szCs w:val="24"/>
        </w:rPr>
        <w:t xml:space="preserve"> о</w:t>
      </w:r>
      <w:r w:rsidRPr="001C1790">
        <w:rPr>
          <w:rFonts w:ascii="Times New Roman" w:hAnsi="Times New Roman"/>
          <w:sz w:val="24"/>
          <w:szCs w:val="24"/>
        </w:rPr>
        <w:t xml:space="preserve">бщие расходы на </w:t>
      </w:r>
      <w:r w:rsidRPr="001C1790">
        <w:rPr>
          <w:rFonts w:ascii="Times New Roman" w:hAnsi="Times New Roman"/>
          <w:sz w:val="24"/>
          <w:szCs w:val="24"/>
        </w:rPr>
        <w:lastRenderedPageBreak/>
        <w:t>обеспечение руководства и управления в сфере установленных функций отражены по разделам бюджет</w:t>
      </w:r>
      <w:r w:rsidR="001C1790">
        <w:rPr>
          <w:rFonts w:ascii="Times New Roman" w:hAnsi="Times New Roman"/>
          <w:sz w:val="24"/>
          <w:szCs w:val="24"/>
        </w:rPr>
        <w:t xml:space="preserve">ной классификации в соответствии с выполняемыми </w:t>
      </w:r>
      <w:r w:rsidRPr="001C1790">
        <w:rPr>
          <w:rFonts w:ascii="Times New Roman" w:hAnsi="Times New Roman"/>
          <w:sz w:val="24"/>
          <w:szCs w:val="24"/>
        </w:rPr>
        <w:t>государственными органами функциями.</w:t>
      </w:r>
    </w:p>
    <w:p w:rsidR="006C36E1" w:rsidRPr="00150AB8" w:rsidRDefault="006C36E1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По 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подра</w:t>
      </w:r>
      <w:r w:rsidR="000E4F1F" w:rsidRPr="00150AB8">
        <w:rPr>
          <w:sz w:val="24"/>
          <w:szCs w:val="24"/>
        </w:rPr>
        <w:t>з</w:t>
      </w:r>
      <w:r w:rsidRPr="00150AB8">
        <w:rPr>
          <w:sz w:val="24"/>
          <w:szCs w:val="24"/>
        </w:rPr>
        <w:t>делу</w:t>
      </w:r>
      <w:r w:rsidR="000E4F1F" w:rsidRPr="00150AB8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 xml:space="preserve"> 01</w:t>
      </w:r>
      <w:r w:rsidR="001C1790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02</w:t>
      </w:r>
      <w:r w:rsidR="001C1790">
        <w:rPr>
          <w:sz w:val="24"/>
          <w:szCs w:val="24"/>
        </w:rPr>
        <w:t xml:space="preserve"> «</w:t>
      </w:r>
      <w:r w:rsidRPr="00150AB8">
        <w:rPr>
          <w:sz w:val="24"/>
          <w:szCs w:val="24"/>
        </w:rPr>
        <w:t>Функционирование высшего должно</w:t>
      </w:r>
      <w:r w:rsidR="000E4F1F" w:rsidRPr="00150AB8">
        <w:rPr>
          <w:sz w:val="24"/>
          <w:szCs w:val="24"/>
        </w:rPr>
        <w:t>стного лица суб</w:t>
      </w:r>
      <w:r w:rsidR="001C1790">
        <w:rPr>
          <w:sz w:val="24"/>
          <w:szCs w:val="24"/>
        </w:rPr>
        <w:t>ъ</w:t>
      </w:r>
      <w:r w:rsidR="000E4F1F" w:rsidRPr="00150AB8">
        <w:rPr>
          <w:sz w:val="24"/>
          <w:szCs w:val="24"/>
        </w:rPr>
        <w:t>екта РФ и муниципального образования» предусмотрены расходы на содержание главы района.</w:t>
      </w:r>
    </w:p>
    <w:p w:rsidR="00153853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По подразделу 01 04 </w:t>
      </w:r>
      <w:r w:rsidRPr="001C1790">
        <w:rPr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</w:t>
      </w:r>
      <w:r w:rsidR="009608CC" w:rsidRPr="001C1790">
        <w:rPr>
          <w:sz w:val="24"/>
          <w:szCs w:val="24"/>
        </w:rPr>
        <w:t xml:space="preserve"> заместителей</w:t>
      </w:r>
      <w:r w:rsidR="000E4F1F" w:rsidRPr="001C1790">
        <w:rPr>
          <w:sz w:val="24"/>
          <w:szCs w:val="24"/>
        </w:rPr>
        <w:t xml:space="preserve"> главы района,</w:t>
      </w:r>
      <w:r w:rsidR="00B23D07">
        <w:rPr>
          <w:sz w:val="24"/>
          <w:szCs w:val="24"/>
        </w:rPr>
        <w:t xml:space="preserve"> аппарата а</w:t>
      </w:r>
      <w:r w:rsidRPr="001C1790">
        <w:rPr>
          <w:sz w:val="24"/>
          <w:szCs w:val="24"/>
        </w:rPr>
        <w:t>дминистрации района.</w:t>
      </w:r>
    </w:p>
    <w:p w:rsidR="008D748B" w:rsidRPr="001C1790" w:rsidRDefault="008D748B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По подразделу 01 0</w:t>
      </w:r>
      <w:r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</w:t>
      </w:r>
      <w:r w:rsidRPr="008D748B">
        <w:rPr>
          <w:sz w:val="24"/>
          <w:szCs w:val="24"/>
        </w:rPr>
        <w:t>Судебная система</w:t>
      </w:r>
      <w:r w:rsidRPr="001C1790">
        <w:rPr>
          <w:sz w:val="24"/>
          <w:szCs w:val="24"/>
        </w:rPr>
        <w:t xml:space="preserve">» предусмотрены расходы на </w:t>
      </w:r>
      <w:r>
        <w:rPr>
          <w:sz w:val="24"/>
          <w:szCs w:val="24"/>
        </w:rPr>
        <w:t>о</w:t>
      </w:r>
      <w:r w:rsidRPr="008D748B">
        <w:rPr>
          <w:sz w:val="24"/>
          <w:szCs w:val="24"/>
        </w:rPr>
        <w:t>существление полномочий по составлению списков кан</w:t>
      </w:r>
      <w:r w:rsidR="00B23D07">
        <w:rPr>
          <w:sz w:val="24"/>
          <w:szCs w:val="24"/>
        </w:rPr>
        <w:t>дидатов в присяжные заседатели Ф</w:t>
      </w:r>
      <w:r w:rsidRPr="008D748B">
        <w:rPr>
          <w:sz w:val="24"/>
          <w:szCs w:val="24"/>
        </w:rPr>
        <w:t>едеральных судов общей юрисдикции в РФ</w:t>
      </w:r>
      <w:r>
        <w:rPr>
          <w:sz w:val="24"/>
          <w:szCs w:val="24"/>
        </w:rPr>
        <w:t>.</w:t>
      </w:r>
    </w:p>
    <w:p w:rsidR="00A74523" w:rsidRPr="006C212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C1790">
        <w:rPr>
          <w:sz w:val="24"/>
          <w:szCs w:val="24"/>
        </w:rPr>
        <w:t xml:space="preserve">По подразделу </w:t>
      </w:r>
      <w:r w:rsidR="000E4F1F" w:rsidRPr="001C1790">
        <w:rPr>
          <w:sz w:val="24"/>
          <w:szCs w:val="24"/>
        </w:rPr>
        <w:t>01</w:t>
      </w:r>
      <w:r w:rsidR="00B23D07">
        <w:rPr>
          <w:sz w:val="24"/>
          <w:szCs w:val="24"/>
        </w:rPr>
        <w:t xml:space="preserve"> </w:t>
      </w:r>
      <w:r w:rsidR="000E4F1F" w:rsidRPr="001C1790">
        <w:rPr>
          <w:sz w:val="24"/>
          <w:szCs w:val="24"/>
        </w:rPr>
        <w:t>06</w:t>
      </w:r>
      <w:r w:rsidR="001C1790">
        <w:rPr>
          <w:sz w:val="24"/>
          <w:szCs w:val="24"/>
        </w:rPr>
        <w:t xml:space="preserve"> </w:t>
      </w:r>
      <w:r w:rsidRPr="001C1790">
        <w:rPr>
          <w:sz w:val="24"/>
          <w:szCs w:val="24"/>
        </w:rPr>
        <w:t>«Обеспечение деятельности ф</w:t>
      </w:r>
      <w:r w:rsidR="001C1790">
        <w:rPr>
          <w:sz w:val="24"/>
          <w:szCs w:val="24"/>
        </w:rPr>
        <w:t xml:space="preserve">инансовых, налоговых </w:t>
      </w:r>
      <w:r w:rsidRPr="001C1790">
        <w:rPr>
          <w:sz w:val="24"/>
          <w:szCs w:val="24"/>
        </w:rPr>
        <w:t xml:space="preserve">и таможенных органов и органов финансового (финансово-бюджетного) надзора» предусмотрены </w:t>
      </w:r>
      <w:r w:rsidR="008D748B">
        <w:rPr>
          <w:sz w:val="24"/>
          <w:szCs w:val="24"/>
        </w:rPr>
        <w:t xml:space="preserve">расходы на содержание комитета </w:t>
      </w:r>
      <w:r w:rsidRPr="001C1790">
        <w:rPr>
          <w:sz w:val="24"/>
          <w:szCs w:val="24"/>
        </w:rPr>
        <w:t>по финансам, налоговой и кредитной политике</w:t>
      </w:r>
      <w:r w:rsidR="00452583" w:rsidRPr="001C1790">
        <w:rPr>
          <w:sz w:val="24"/>
          <w:szCs w:val="24"/>
        </w:rPr>
        <w:t xml:space="preserve"> </w:t>
      </w:r>
      <w:r w:rsidR="008D748B">
        <w:rPr>
          <w:sz w:val="24"/>
          <w:szCs w:val="24"/>
        </w:rPr>
        <w:t>Немецкого национального района Алтайского края</w:t>
      </w:r>
      <w:r w:rsidR="006C2128" w:rsidRPr="006C2128">
        <w:rPr>
          <w:sz w:val="24"/>
          <w:szCs w:val="24"/>
        </w:rPr>
        <w:t xml:space="preserve"> </w:t>
      </w:r>
      <w:r w:rsidR="006C2128">
        <w:rPr>
          <w:sz w:val="24"/>
          <w:szCs w:val="24"/>
        </w:rPr>
        <w:t xml:space="preserve">и расходы на содержание контрольно-счетного органа </w:t>
      </w:r>
      <w:r w:rsidR="00BC0AA4">
        <w:rPr>
          <w:sz w:val="24"/>
          <w:szCs w:val="24"/>
        </w:rPr>
        <w:t>муниципального образования муниципальный район Немецкий национальный район Алтайского края</w:t>
      </w:r>
      <w:r w:rsidR="006C2128">
        <w:rPr>
          <w:sz w:val="24"/>
          <w:szCs w:val="24"/>
        </w:rPr>
        <w:t>.</w:t>
      </w:r>
    </w:p>
    <w:p w:rsidR="009608CC" w:rsidRPr="00150AB8" w:rsidRDefault="00087860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53853" w:rsidRPr="001C1790">
        <w:rPr>
          <w:sz w:val="24"/>
          <w:szCs w:val="24"/>
        </w:rPr>
        <w:t>о</w:t>
      </w:r>
      <w:r>
        <w:rPr>
          <w:sz w:val="24"/>
          <w:szCs w:val="24"/>
        </w:rPr>
        <w:t xml:space="preserve"> по</w:t>
      </w:r>
      <w:r w:rsidR="00153853" w:rsidRPr="001C1790">
        <w:rPr>
          <w:sz w:val="24"/>
          <w:szCs w:val="24"/>
        </w:rPr>
        <w:t xml:space="preserve">дразделу </w:t>
      </w:r>
      <w:r>
        <w:rPr>
          <w:sz w:val="24"/>
          <w:szCs w:val="24"/>
        </w:rPr>
        <w:t xml:space="preserve">01 13 </w:t>
      </w:r>
      <w:r w:rsidR="00153853" w:rsidRPr="001C1790">
        <w:rPr>
          <w:sz w:val="24"/>
          <w:szCs w:val="24"/>
        </w:rPr>
        <w:t>«Другие общегосударственные вопросы» отражены расходы, связанные с реализацией обязательств</w:t>
      </w:r>
      <w:r>
        <w:rPr>
          <w:sz w:val="24"/>
          <w:szCs w:val="24"/>
        </w:rPr>
        <w:t xml:space="preserve"> Немецкого национального района</w:t>
      </w:r>
      <w:r w:rsidR="00153853" w:rsidRPr="001C1790">
        <w:rPr>
          <w:sz w:val="24"/>
          <w:szCs w:val="24"/>
        </w:rPr>
        <w:t xml:space="preserve"> на содержание  </w:t>
      </w:r>
      <w:r>
        <w:rPr>
          <w:sz w:val="24"/>
          <w:szCs w:val="24"/>
        </w:rPr>
        <w:t xml:space="preserve">муниципального казенного учреждения «Отдел по имуществу и земельным отношениям Немецкого национального района Алтайского края» и </w:t>
      </w:r>
      <w:r w:rsidR="00A74523" w:rsidRPr="001C1790">
        <w:rPr>
          <w:sz w:val="24"/>
          <w:szCs w:val="24"/>
        </w:rPr>
        <w:t xml:space="preserve"> отдела по исполнению бюджетов поселений</w:t>
      </w:r>
      <w:r w:rsidR="00A74523" w:rsidRPr="00150AB8">
        <w:rPr>
          <w:sz w:val="24"/>
          <w:szCs w:val="24"/>
        </w:rPr>
        <w:t>.</w:t>
      </w:r>
    </w:p>
    <w:p w:rsidR="00153853" w:rsidRPr="00150AB8" w:rsidRDefault="00153853" w:rsidP="00AA572A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>В целях финансового обеспечения полномочий Алтайского края, переданных для осуществления органам местного самоуправления бюджетам муниципальных образований выделяются субвенции на функционирование административных комиссий при местных администра</w:t>
      </w:r>
      <w:r w:rsidR="00087860">
        <w:rPr>
          <w:sz w:val="24"/>
          <w:szCs w:val="24"/>
        </w:rPr>
        <w:t xml:space="preserve">циях в соответствии </w:t>
      </w:r>
      <w:r w:rsidRPr="00150AB8">
        <w:rPr>
          <w:sz w:val="24"/>
          <w:szCs w:val="24"/>
        </w:rPr>
        <w:t>с законом Алтайского края от 10 марта 2009 года № 12-ЗС «О наделении органов местного самоуправления государственными полн</w:t>
      </w:r>
      <w:r w:rsidR="00087860">
        <w:rPr>
          <w:sz w:val="24"/>
          <w:szCs w:val="24"/>
        </w:rPr>
        <w:t xml:space="preserve">омочиями в области создания </w:t>
      </w:r>
      <w:r w:rsidRPr="00150AB8">
        <w:rPr>
          <w:sz w:val="24"/>
          <w:szCs w:val="24"/>
        </w:rPr>
        <w:t>и функционирования административных комис</w:t>
      </w:r>
      <w:r w:rsidR="00087860">
        <w:rPr>
          <w:sz w:val="24"/>
          <w:szCs w:val="24"/>
        </w:rPr>
        <w:t>сий при местных администрациях»</w:t>
      </w:r>
      <w:r w:rsidRPr="00150AB8">
        <w:rPr>
          <w:sz w:val="24"/>
          <w:szCs w:val="24"/>
        </w:rPr>
        <w:t>.</w:t>
      </w:r>
    </w:p>
    <w:p w:rsidR="00F717BA" w:rsidRPr="00150AB8" w:rsidRDefault="00F717BA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87860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«Национальная оборона»</w:t>
      </w:r>
    </w:p>
    <w:p w:rsidR="00153853" w:rsidRPr="00150AB8" w:rsidRDefault="00087860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</w:t>
      </w:r>
      <w:r w:rsidR="00153853" w:rsidRPr="00150AB8">
        <w:rPr>
          <w:sz w:val="24"/>
          <w:szCs w:val="24"/>
        </w:rPr>
        <w:t>одраздел</w:t>
      </w:r>
      <w:r>
        <w:rPr>
          <w:sz w:val="24"/>
          <w:szCs w:val="24"/>
        </w:rPr>
        <w:t>у 02 03</w:t>
      </w:r>
      <w:r w:rsidR="00153853" w:rsidRPr="00150AB8">
        <w:rPr>
          <w:sz w:val="24"/>
          <w:szCs w:val="24"/>
        </w:rPr>
        <w:t xml:space="preserve"> </w:t>
      </w:r>
      <w:r w:rsidR="00153853" w:rsidRPr="00087860">
        <w:rPr>
          <w:sz w:val="24"/>
          <w:szCs w:val="24"/>
        </w:rPr>
        <w:t>«Мобилизацио</w:t>
      </w:r>
      <w:r>
        <w:rPr>
          <w:sz w:val="24"/>
          <w:szCs w:val="24"/>
        </w:rPr>
        <w:t>нная и вневойсковая подготовка» отражена с</w:t>
      </w:r>
      <w:r w:rsidR="00153853" w:rsidRPr="00150AB8">
        <w:rPr>
          <w:sz w:val="24"/>
          <w:szCs w:val="24"/>
        </w:rPr>
        <w:t>убвенция из федерального бюджета на</w:t>
      </w:r>
      <w:r>
        <w:rPr>
          <w:sz w:val="24"/>
          <w:szCs w:val="24"/>
        </w:rPr>
        <w:t xml:space="preserve"> осуществление полномочий </w:t>
      </w:r>
      <w:r w:rsidR="00153853" w:rsidRPr="00150AB8">
        <w:rPr>
          <w:sz w:val="24"/>
          <w:szCs w:val="24"/>
        </w:rPr>
        <w:t>по первичному воинскому учету на территориях, где отсутствуют военные комиссариаты</w:t>
      </w:r>
      <w:r>
        <w:rPr>
          <w:sz w:val="24"/>
          <w:szCs w:val="24"/>
        </w:rPr>
        <w:t>.</w:t>
      </w:r>
      <w:r w:rsidR="00153853" w:rsidRPr="00150AB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53853" w:rsidRPr="00150AB8">
        <w:rPr>
          <w:sz w:val="24"/>
          <w:szCs w:val="24"/>
        </w:rPr>
        <w:t>а 20</w:t>
      </w:r>
      <w:r w:rsidR="00D00F45" w:rsidRPr="00150AB8">
        <w:rPr>
          <w:sz w:val="24"/>
          <w:szCs w:val="24"/>
        </w:rPr>
        <w:t>2</w:t>
      </w:r>
      <w:r w:rsidR="00B53C67">
        <w:rPr>
          <w:sz w:val="24"/>
          <w:szCs w:val="24"/>
        </w:rPr>
        <w:t>5</w:t>
      </w:r>
      <w:r w:rsidR="00153853" w:rsidRPr="00150AB8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субвенция </w:t>
      </w:r>
      <w:r w:rsidR="00153853" w:rsidRPr="00150AB8">
        <w:rPr>
          <w:sz w:val="24"/>
          <w:szCs w:val="24"/>
        </w:rPr>
        <w:t>распределена</w:t>
      </w:r>
      <w:r>
        <w:rPr>
          <w:sz w:val="24"/>
          <w:szCs w:val="24"/>
        </w:rPr>
        <w:t xml:space="preserve"> по </w:t>
      </w:r>
      <w:r w:rsidR="00153853" w:rsidRPr="00150AB8">
        <w:rPr>
          <w:sz w:val="24"/>
          <w:szCs w:val="24"/>
        </w:rPr>
        <w:t>поселениям в соответствии с методикой, утвержденной  решением районного Совета депутатов от 29.11.2012 г.</w:t>
      </w:r>
      <w:r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№64.</w:t>
      </w:r>
    </w:p>
    <w:p w:rsidR="00842118" w:rsidRDefault="00842118" w:rsidP="00AA572A">
      <w:pPr>
        <w:spacing w:after="0" w:line="240" w:lineRule="auto"/>
        <w:ind w:firstLine="709"/>
        <w:jc w:val="both"/>
        <w:rPr>
          <w:bCs/>
          <w:i/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bCs/>
          <w:i/>
          <w:sz w:val="24"/>
          <w:szCs w:val="24"/>
        </w:rPr>
      </w:pPr>
      <w:r w:rsidRPr="00150AB8">
        <w:rPr>
          <w:bCs/>
          <w:i/>
          <w:sz w:val="24"/>
          <w:szCs w:val="24"/>
        </w:rPr>
        <w:t>Раздел «Национальная безопасность и правоохранительная деятельность»</w:t>
      </w:r>
    </w:p>
    <w:p w:rsidR="00153853" w:rsidRPr="00842118" w:rsidRDefault="00153853" w:rsidP="00AA572A">
      <w:pPr>
        <w:pStyle w:val="3"/>
        <w:spacing w:after="0" w:line="240" w:lineRule="auto"/>
        <w:ind w:left="0" w:firstLine="709"/>
        <w:jc w:val="both"/>
        <w:rPr>
          <w:sz w:val="24"/>
          <w:szCs w:val="24"/>
        </w:rPr>
      </w:pPr>
      <w:r w:rsidRPr="00842118">
        <w:rPr>
          <w:sz w:val="24"/>
          <w:szCs w:val="24"/>
        </w:rPr>
        <w:t xml:space="preserve">По подразделу </w:t>
      </w:r>
      <w:r w:rsidR="00842118">
        <w:rPr>
          <w:sz w:val="24"/>
          <w:szCs w:val="24"/>
        </w:rPr>
        <w:t xml:space="preserve">03 </w:t>
      </w:r>
      <w:r w:rsidR="005111DD">
        <w:rPr>
          <w:sz w:val="24"/>
          <w:szCs w:val="24"/>
        </w:rPr>
        <w:t>10</w:t>
      </w:r>
      <w:r w:rsidR="00842118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«Защита населения и территории от ч</w:t>
      </w:r>
      <w:r w:rsidR="000428AD">
        <w:rPr>
          <w:sz w:val="24"/>
          <w:szCs w:val="24"/>
        </w:rPr>
        <w:t xml:space="preserve">резвычайных ситуаций природного </w:t>
      </w:r>
      <w:r w:rsidRPr="00842118">
        <w:rPr>
          <w:sz w:val="24"/>
          <w:szCs w:val="24"/>
        </w:rPr>
        <w:t>и техногенного характера, гражданская оборона»</w:t>
      </w:r>
      <w:r w:rsidR="000428AD">
        <w:rPr>
          <w:sz w:val="24"/>
          <w:szCs w:val="24"/>
        </w:rPr>
        <w:t xml:space="preserve"> </w:t>
      </w:r>
      <w:r w:rsidRPr="00842118">
        <w:rPr>
          <w:sz w:val="24"/>
          <w:szCs w:val="24"/>
        </w:rPr>
        <w:t>предусматриваются расходы</w:t>
      </w:r>
      <w:r w:rsidR="000428AD">
        <w:rPr>
          <w:sz w:val="24"/>
          <w:szCs w:val="24"/>
        </w:rPr>
        <w:t xml:space="preserve">  на содержание работников ЕДДС</w:t>
      </w:r>
      <w:r w:rsidRPr="00842118">
        <w:rPr>
          <w:sz w:val="24"/>
          <w:szCs w:val="24"/>
        </w:rPr>
        <w:t>.</w:t>
      </w:r>
    </w:p>
    <w:p w:rsidR="000428AD" w:rsidRDefault="000428AD" w:rsidP="00AA572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853" w:rsidRPr="00150AB8" w:rsidRDefault="00153853" w:rsidP="000428AD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 «Национальная экономика»</w:t>
      </w:r>
    </w:p>
    <w:p w:rsidR="00153853" w:rsidRDefault="00153853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 xml:space="preserve">По </w:t>
      </w:r>
      <w:r w:rsidR="000428AD">
        <w:rPr>
          <w:rFonts w:ascii="Times New Roman" w:hAnsi="Times New Roman"/>
          <w:sz w:val="24"/>
          <w:szCs w:val="24"/>
        </w:rPr>
        <w:t>под</w:t>
      </w:r>
      <w:r w:rsidRPr="00150AB8">
        <w:rPr>
          <w:rFonts w:ascii="Times New Roman" w:hAnsi="Times New Roman"/>
          <w:sz w:val="24"/>
          <w:szCs w:val="24"/>
        </w:rPr>
        <w:t xml:space="preserve">разделу </w:t>
      </w:r>
      <w:r w:rsidR="000428AD">
        <w:rPr>
          <w:rFonts w:ascii="Times New Roman" w:hAnsi="Times New Roman"/>
          <w:sz w:val="24"/>
          <w:szCs w:val="24"/>
        </w:rPr>
        <w:t xml:space="preserve">04 05 </w:t>
      </w:r>
      <w:r w:rsidRPr="00150AB8">
        <w:rPr>
          <w:rFonts w:ascii="Times New Roman" w:hAnsi="Times New Roman"/>
          <w:bCs/>
          <w:sz w:val="24"/>
          <w:szCs w:val="24"/>
        </w:rPr>
        <w:t>«Национальная экономика</w:t>
      </w:r>
      <w:r w:rsidR="000428AD">
        <w:rPr>
          <w:rFonts w:ascii="Times New Roman" w:hAnsi="Times New Roman"/>
          <w:bCs/>
          <w:sz w:val="24"/>
          <w:szCs w:val="24"/>
        </w:rPr>
        <w:t xml:space="preserve"> и рыболовство</w:t>
      </w:r>
      <w:r w:rsidRPr="00150AB8">
        <w:rPr>
          <w:rFonts w:ascii="Times New Roman" w:hAnsi="Times New Roman"/>
          <w:bCs/>
          <w:sz w:val="24"/>
          <w:szCs w:val="24"/>
        </w:rPr>
        <w:t>»</w:t>
      </w:r>
      <w:r w:rsidR="009608CC" w:rsidRPr="00150AB8">
        <w:rPr>
          <w:rFonts w:ascii="Times New Roman" w:hAnsi="Times New Roman"/>
          <w:bCs/>
          <w:sz w:val="24"/>
          <w:szCs w:val="24"/>
        </w:rPr>
        <w:t xml:space="preserve"> </w:t>
      </w:r>
      <w:r w:rsidRPr="00150AB8">
        <w:rPr>
          <w:rFonts w:ascii="Times New Roman" w:hAnsi="Times New Roman"/>
          <w:sz w:val="24"/>
          <w:szCs w:val="24"/>
        </w:rPr>
        <w:t xml:space="preserve">предусмотрены расходы на содержание </w:t>
      </w:r>
      <w:r w:rsidR="005B6053" w:rsidRPr="00150AB8">
        <w:rPr>
          <w:rFonts w:ascii="Times New Roman" w:hAnsi="Times New Roman"/>
          <w:sz w:val="24"/>
          <w:szCs w:val="24"/>
        </w:rPr>
        <w:t xml:space="preserve">управления </w:t>
      </w:r>
      <w:r w:rsidRPr="00150AB8">
        <w:rPr>
          <w:rFonts w:ascii="Times New Roman" w:hAnsi="Times New Roman"/>
          <w:sz w:val="24"/>
          <w:szCs w:val="24"/>
        </w:rPr>
        <w:t xml:space="preserve">сельского хозяйства </w:t>
      </w:r>
      <w:r w:rsidR="000428AD">
        <w:rPr>
          <w:rFonts w:ascii="Times New Roman" w:hAnsi="Times New Roman"/>
          <w:sz w:val="24"/>
          <w:szCs w:val="24"/>
        </w:rPr>
        <w:t xml:space="preserve">Немецкого национального </w:t>
      </w:r>
      <w:r w:rsidRPr="00150AB8">
        <w:rPr>
          <w:rFonts w:ascii="Times New Roman" w:hAnsi="Times New Roman"/>
          <w:sz w:val="24"/>
          <w:szCs w:val="24"/>
        </w:rPr>
        <w:t>района.</w:t>
      </w:r>
      <w:r w:rsidR="00F7237E" w:rsidRPr="00150AB8">
        <w:rPr>
          <w:rFonts w:ascii="Times New Roman" w:hAnsi="Times New Roman"/>
          <w:sz w:val="24"/>
          <w:szCs w:val="24"/>
        </w:rPr>
        <w:t xml:space="preserve"> </w:t>
      </w:r>
      <w:r w:rsidR="00A729AA" w:rsidRPr="00150AB8">
        <w:rPr>
          <w:rFonts w:ascii="Times New Roman" w:hAnsi="Times New Roman"/>
          <w:sz w:val="24"/>
          <w:szCs w:val="24"/>
        </w:rPr>
        <w:t xml:space="preserve">По данному подразделу </w:t>
      </w:r>
      <w:r w:rsidR="000428AD">
        <w:rPr>
          <w:rFonts w:ascii="Times New Roman" w:hAnsi="Times New Roman"/>
          <w:sz w:val="24"/>
          <w:szCs w:val="24"/>
        </w:rPr>
        <w:t xml:space="preserve">так же </w:t>
      </w:r>
      <w:r w:rsidR="00A729AA" w:rsidRPr="00150AB8">
        <w:rPr>
          <w:rFonts w:ascii="Times New Roman" w:hAnsi="Times New Roman"/>
          <w:sz w:val="24"/>
          <w:szCs w:val="24"/>
        </w:rPr>
        <w:t xml:space="preserve">определены бюджетные ассигнования в размере переданных полномочий краевого бюджета </w:t>
      </w:r>
      <w:r w:rsidR="000428AD">
        <w:rPr>
          <w:rFonts w:ascii="Times New Roman" w:hAnsi="Times New Roman"/>
          <w:sz w:val="24"/>
          <w:szCs w:val="24"/>
        </w:rPr>
        <w:t>по</w:t>
      </w:r>
      <w:r w:rsidR="00A729AA" w:rsidRPr="00150AB8">
        <w:rPr>
          <w:rFonts w:ascii="Times New Roman" w:hAnsi="Times New Roman"/>
          <w:sz w:val="24"/>
          <w:szCs w:val="24"/>
        </w:rPr>
        <w:t xml:space="preserve"> отлов</w:t>
      </w:r>
      <w:r w:rsidR="000428AD">
        <w:rPr>
          <w:rFonts w:ascii="Times New Roman" w:hAnsi="Times New Roman"/>
          <w:sz w:val="24"/>
          <w:szCs w:val="24"/>
        </w:rPr>
        <w:t>у</w:t>
      </w:r>
      <w:r w:rsidR="00A729AA" w:rsidRPr="00150AB8">
        <w:rPr>
          <w:rFonts w:ascii="Times New Roman" w:hAnsi="Times New Roman"/>
          <w:sz w:val="24"/>
          <w:szCs w:val="24"/>
        </w:rPr>
        <w:t xml:space="preserve"> и содержани</w:t>
      </w:r>
      <w:r w:rsidR="000428AD">
        <w:rPr>
          <w:rFonts w:ascii="Times New Roman" w:hAnsi="Times New Roman"/>
          <w:sz w:val="24"/>
          <w:szCs w:val="24"/>
        </w:rPr>
        <w:t>ю</w:t>
      </w:r>
      <w:r w:rsidR="00A729AA" w:rsidRPr="00150AB8">
        <w:rPr>
          <w:rFonts w:ascii="Times New Roman" w:hAnsi="Times New Roman"/>
          <w:sz w:val="24"/>
          <w:szCs w:val="24"/>
        </w:rPr>
        <w:t xml:space="preserve"> безнадзорных животных.</w:t>
      </w:r>
    </w:p>
    <w:p w:rsidR="00F678EC" w:rsidRPr="00150AB8" w:rsidRDefault="001E295F" w:rsidP="00AA572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подразделу 04 09 «Дорожное хозяйство (дорожные фонды)» отражены бюджетные ассигнования  </w:t>
      </w:r>
      <w:r w:rsidR="0038206B">
        <w:rPr>
          <w:rFonts w:ascii="Times New Roman" w:hAnsi="Times New Roman"/>
          <w:sz w:val="24"/>
          <w:szCs w:val="24"/>
        </w:rPr>
        <w:t>на</w:t>
      </w:r>
      <w:r w:rsidR="00375A88">
        <w:rPr>
          <w:rFonts w:ascii="Times New Roman" w:hAnsi="Times New Roman"/>
          <w:sz w:val="24"/>
          <w:szCs w:val="24"/>
        </w:rPr>
        <w:t xml:space="preserve"> содержание, ремонт,</w:t>
      </w:r>
      <w:r w:rsidR="0038206B">
        <w:rPr>
          <w:rFonts w:ascii="Times New Roman" w:hAnsi="Times New Roman"/>
          <w:sz w:val="24"/>
          <w:szCs w:val="24"/>
        </w:rPr>
        <w:t xml:space="preserve"> реконструкцию и строительство автомобильных дорог, являющихся муниципальной собственностью, а именно, на ремонт улично-дорожной сети в с.</w:t>
      </w:r>
      <w:r w:rsidR="006565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610D">
        <w:rPr>
          <w:rFonts w:ascii="Times New Roman" w:hAnsi="Times New Roman"/>
          <w:sz w:val="24"/>
          <w:szCs w:val="24"/>
        </w:rPr>
        <w:t>Гальбштадт</w:t>
      </w:r>
      <w:proofErr w:type="spellEnd"/>
      <w:r w:rsidR="0038206B">
        <w:rPr>
          <w:rFonts w:ascii="Times New Roman" w:hAnsi="Times New Roman"/>
          <w:sz w:val="24"/>
          <w:szCs w:val="24"/>
        </w:rPr>
        <w:t xml:space="preserve"> </w:t>
      </w:r>
      <w:r w:rsidR="001A3618">
        <w:rPr>
          <w:rFonts w:ascii="Times New Roman" w:hAnsi="Times New Roman"/>
          <w:sz w:val="24"/>
          <w:szCs w:val="24"/>
        </w:rPr>
        <w:t xml:space="preserve">в сумме </w:t>
      </w:r>
      <w:r w:rsidR="00DF610D">
        <w:rPr>
          <w:rFonts w:ascii="Times New Roman" w:hAnsi="Times New Roman"/>
          <w:sz w:val="24"/>
          <w:szCs w:val="24"/>
        </w:rPr>
        <w:t>35</w:t>
      </w:r>
      <w:r w:rsidR="00B04D20">
        <w:rPr>
          <w:rFonts w:ascii="Times New Roman" w:hAnsi="Times New Roman"/>
          <w:sz w:val="24"/>
          <w:szCs w:val="24"/>
        </w:rPr>
        <w:t>20</w:t>
      </w:r>
      <w:r w:rsidR="00DF610D">
        <w:rPr>
          <w:rFonts w:ascii="Times New Roman" w:hAnsi="Times New Roman"/>
          <w:sz w:val="24"/>
          <w:szCs w:val="24"/>
        </w:rPr>
        <w:t>,0 тыс.</w:t>
      </w:r>
      <w:r w:rsidR="001513F6">
        <w:rPr>
          <w:rFonts w:ascii="Times New Roman" w:hAnsi="Times New Roman"/>
          <w:sz w:val="24"/>
          <w:szCs w:val="24"/>
        </w:rPr>
        <w:t xml:space="preserve"> </w:t>
      </w:r>
      <w:r w:rsidR="00DF610D">
        <w:rPr>
          <w:rFonts w:ascii="Times New Roman" w:hAnsi="Times New Roman"/>
          <w:sz w:val="24"/>
          <w:szCs w:val="24"/>
        </w:rPr>
        <w:t>руб.</w:t>
      </w:r>
      <w:r w:rsidR="00EC791D">
        <w:rPr>
          <w:rFonts w:ascii="Times New Roman" w:hAnsi="Times New Roman"/>
          <w:sz w:val="24"/>
          <w:szCs w:val="24"/>
        </w:rPr>
        <w:t xml:space="preserve"> (муниципальная программа « Ремонт и содержание автомобильных дорог местного значения в населенных </w:t>
      </w:r>
      <w:r w:rsidR="00EC791D">
        <w:rPr>
          <w:rFonts w:ascii="Times New Roman" w:hAnsi="Times New Roman"/>
          <w:sz w:val="24"/>
          <w:szCs w:val="24"/>
        </w:rPr>
        <w:lastRenderedPageBreak/>
        <w:t>пунктах Немецкого национального района Алтайского края на 2025-2027 годы»)</w:t>
      </w:r>
      <w:r w:rsidR="00B04D20">
        <w:rPr>
          <w:rFonts w:ascii="Times New Roman" w:hAnsi="Times New Roman"/>
          <w:sz w:val="24"/>
          <w:szCs w:val="24"/>
        </w:rPr>
        <w:t xml:space="preserve"> </w:t>
      </w:r>
      <w:r w:rsidR="00375A88">
        <w:rPr>
          <w:rFonts w:ascii="Times New Roman" w:hAnsi="Times New Roman"/>
          <w:sz w:val="24"/>
          <w:szCs w:val="24"/>
        </w:rPr>
        <w:t xml:space="preserve"> По данному подразделу также</w:t>
      </w:r>
      <w:proofErr w:type="gramEnd"/>
      <w:r w:rsidR="00375A88">
        <w:rPr>
          <w:rFonts w:ascii="Times New Roman" w:hAnsi="Times New Roman"/>
          <w:sz w:val="24"/>
          <w:szCs w:val="24"/>
        </w:rPr>
        <w:t xml:space="preserve"> отражены расходы на содержание автомобильных дорог общего пользования в сумме </w:t>
      </w:r>
      <w:r w:rsidR="003D7CDD">
        <w:rPr>
          <w:rFonts w:ascii="Times New Roman" w:hAnsi="Times New Roman"/>
          <w:sz w:val="24"/>
          <w:szCs w:val="24"/>
        </w:rPr>
        <w:t>7775</w:t>
      </w:r>
      <w:r w:rsidR="00375A88">
        <w:rPr>
          <w:rFonts w:ascii="Times New Roman" w:hAnsi="Times New Roman"/>
          <w:sz w:val="24"/>
          <w:szCs w:val="24"/>
        </w:rPr>
        <w:t>,</w:t>
      </w:r>
      <w:r w:rsidR="00EB0AE9">
        <w:rPr>
          <w:rFonts w:ascii="Times New Roman" w:hAnsi="Times New Roman"/>
          <w:sz w:val="24"/>
          <w:szCs w:val="24"/>
        </w:rPr>
        <w:t>9</w:t>
      </w:r>
      <w:r w:rsidR="00375A88">
        <w:rPr>
          <w:rFonts w:ascii="Times New Roman" w:hAnsi="Times New Roman"/>
          <w:sz w:val="24"/>
          <w:szCs w:val="24"/>
        </w:rPr>
        <w:t xml:space="preserve"> тыс.</w:t>
      </w:r>
      <w:r w:rsidR="00297251">
        <w:rPr>
          <w:rFonts w:ascii="Times New Roman" w:hAnsi="Times New Roman"/>
          <w:sz w:val="24"/>
          <w:szCs w:val="24"/>
        </w:rPr>
        <w:t xml:space="preserve"> </w:t>
      </w:r>
      <w:r w:rsidR="00375A88">
        <w:rPr>
          <w:rFonts w:ascii="Times New Roman" w:hAnsi="Times New Roman"/>
          <w:sz w:val="24"/>
          <w:szCs w:val="24"/>
        </w:rPr>
        <w:t>руб.</w:t>
      </w:r>
      <w:r w:rsidR="00340EF8">
        <w:rPr>
          <w:rFonts w:ascii="Times New Roman" w:hAnsi="Times New Roman"/>
          <w:sz w:val="24"/>
          <w:szCs w:val="24"/>
        </w:rPr>
        <w:t xml:space="preserve"> </w:t>
      </w:r>
      <w:r w:rsidR="00B23D07">
        <w:rPr>
          <w:rFonts w:ascii="Times New Roman" w:hAnsi="Times New Roman"/>
          <w:sz w:val="24"/>
          <w:szCs w:val="24"/>
        </w:rPr>
        <w:t>М</w:t>
      </w:r>
      <w:r w:rsidR="00340EF8">
        <w:rPr>
          <w:rFonts w:ascii="Times New Roman" w:hAnsi="Times New Roman"/>
          <w:sz w:val="24"/>
          <w:szCs w:val="24"/>
        </w:rPr>
        <w:t xml:space="preserve">униципальная программа «Повышение безопасности дорожного движения в Немецком национальном районе на 2021-2029 годах» в сумме 742,0 тыс. руб.  </w:t>
      </w:r>
    </w:p>
    <w:p w:rsidR="002C093E" w:rsidRDefault="002C093E" w:rsidP="002C093E">
      <w:pPr>
        <w:pStyle w:val="2"/>
        <w:ind w:firstLine="709"/>
        <w:rPr>
          <w:rFonts w:ascii="Times New Roman" w:hAnsi="Times New Roman"/>
          <w:sz w:val="24"/>
          <w:szCs w:val="24"/>
        </w:rPr>
      </w:pPr>
      <w:r w:rsidRPr="00150AB8">
        <w:rPr>
          <w:rFonts w:ascii="Times New Roman" w:hAnsi="Times New Roman"/>
          <w:sz w:val="24"/>
          <w:szCs w:val="24"/>
        </w:rPr>
        <w:t>Раздел  «</w:t>
      </w:r>
      <w:r w:rsidR="000D4648">
        <w:rPr>
          <w:rFonts w:ascii="Times New Roman" w:hAnsi="Times New Roman"/>
          <w:sz w:val="24"/>
          <w:szCs w:val="24"/>
        </w:rPr>
        <w:t>Жилищно-коммунальное хозяйство»</w:t>
      </w:r>
    </w:p>
    <w:p w:rsidR="002F1A6F" w:rsidRPr="000D4648" w:rsidRDefault="000D2691" w:rsidP="000D2691">
      <w:pPr>
        <w:pStyle w:val="ae"/>
        <w:ind w:firstLine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7956">
        <w:rPr>
          <w:sz w:val="24"/>
          <w:szCs w:val="24"/>
        </w:rPr>
        <w:t>П</w:t>
      </w:r>
      <w:r w:rsidR="002F1A6F">
        <w:rPr>
          <w:sz w:val="24"/>
          <w:szCs w:val="24"/>
        </w:rPr>
        <w:t>о подразделу 05</w:t>
      </w:r>
      <w:r w:rsidR="00B23D07">
        <w:rPr>
          <w:sz w:val="24"/>
          <w:szCs w:val="24"/>
        </w:rPr>
        <w:t xml:space="preserve"> </w:t>
      </w:r>
      <w:r w:rsidR="002F1A6F">
        <w:rPr>
          <w:sz w:val="24"/>
          <w:szCs w:val="24"/>
        </w:rPr>
        <w:t>0</w:t>
      </w:r>
      <w:r w:rsidR="00F534B4">
        <w:rPr>
          <w:sz w:val="24"/>
          <w:szCs w:val="24"/>
        </w:rPr>
        <w:t>2</w:t>
      </w:r>
      <w:r w:rsidR="002F1A6F">
        <w:rPr>
          <w:sz w:val="24"/>
          <w:szCs w:val="24"/>
        </w:rPr>
        <w:t xml:space="preserve"> « </w:t>
      </w:r>
      <w:r w:rsidR="00F534B4">
        <w:rPr>
          <w:sz w:val="24"/>
          <w:szCs w:val="24"/>
        </w:rPr>
        <w:t>Коммунальное хозяйство</w:t>
      </w:r>
      <w:r w:rsidR="002F1A6F">
        <w:rPr>
          <w:sz w:val="24"/>
          <w:szCs w:val="24"/>
        </w:rPr>
        <w:t xml:space="preserve">» предусмотрены расходы на </w:t>
      </w:r>
      <w:r w:rsidR="00B92229">
        <w:rPr>
          <w:sz w:val="24"/>
          <w:szCs w:val="24"/>
        </w:rPr>
        <w:t>финансирование муниципальной программы «Комплексное развитие систем коммунальной инфраструктуры муниципального образования Немецкий национальный район на 2022-202</w:t>
      </w:r>
      <w:r w:rsidR="00962DDC">
        <w:rPr>
          <w:sz w:val="24"/>
          <w:szCs w:val="24"/>
        </w:rPr>
        <w:t>5</w:t>
      </w:r>
      <w:r w:rsidR="00B92229">
        <w:rPr>
          <w:sz w:val="24"/>
          <w:szCs w:val="24"/>
        </w:rPr>
        <w:t>годы»</w:t>
      </w:r>
    </w:p>
    <w:p w:rsidR="00827EBB" w:rsidRPr="00150AB8" w:rsidRDefault="00827EBB" w:rsidP="000D4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AD701A" w:rsidRDefault="00153853" w:rsidP="00F65B70">
      <w:pPr>
        <w:pStyle w:val="21"/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«Образование»</w:t>
      </w:r>
    </w:p>
    <w:p w:rsidR="0052426C" w:rsidRPr="00AD701A" w:rsidRDefault="00AD701A" w:rsidP="00AD701A">
      <w:pPr>
        <w:pStyle w:val="21"/>
        <w:spacing w:after="0" w:line="240" w:lineRule="auto"/>
        <w:ind w:left="0" w:firstLine="426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D701A">
        <w:rPr>
          <w:sz w:val="24"/>
          <w:szCs w:val="24"/>
        </w:rPr>
        <w:t>По п</w:t>
      </w:r>
      <w:r w:rsidR="00153853" w:rsidRPr="00AD701A">
        <w:rPr>
          <w:sz w:val="24"/>
          <w:szCs w:val="24"/>
        </w:rPr>
        <w:t>одраздел</w:t>
      </w:r>
      <w:r w:rsidRPr="00AD701A">
        <w:rPr>
          <w:sz w:val="24"/>
          <w:szCs w:val="24"/>
        </w:rPr>
        <w:t xml:space="preserve">у 07 01 </w:t>
      </w:r>
      <w:r w:rsidR="00153853" w:rsidRPr="00AD701A">
        <w:rPr>
          <w:sz w:val="24"/>
          <w:szCs w:val="24"/>
        </w:rPr>
        <w:t xml:space="preserve"> «Дошкольное образование».</w:t>
      </w:r>
      <w:r w:rsidRPr="00AD701A">
        <w:rPr>
          <w:sz w:val="24"/>
          <w:szCs w:val="24"/>
        </w:rPr>
        <w:t xml:space="preserve"> </w:t>
      </w:r>
      <w:r w:rsidR="00152E22" w:rsidRPr="00AD701A">
        <w:rPr>
          <w:sz w:val="24"/>
          <w:szCs w:val="24"/>
        </w:rPr>
        <w:t>П</w:t>
      </w:r>
      <w:r w:rsidR="00153853" w:rsidRPr="00AD701A">
        <w:rPr>
          <w:sz w:val="24"/>
          <w:szCs w:val="24"/>
        </w:rPr>
        <w:t>редусмотрена субвенция  на обеспечение государственных гарантий реализации</w:t>
      </w:r>
      <w:r w:rsidR="00153853" w:rsidRPr="00150AB8">
        <w:rPr>
          <w:sz w:val="24"/>
          <w:szCs w:val="24"/>
        </w:rPr>
        <w:t xml:space="preserve"> прав на получение общедоступного и бесплатного дошкольного образования в муниципальных дошкольн</w:t>
      </w:r>
      <w:r w:rsidR="009608CC" w:rsidRPr="00150AB8">
        <w:rPr>
          <w:sz w:val="24"/>
          <w:szCs w:val="24"/>
        </w:rPr>
        <w:t>ых образовательных организациях</w:t>
      </w:r>
      <w:r w:rsidR="00153853" w:rsidRPr="00150AB8">
        <w:rPr>
          <w:sz w:val="24"/>
          <w:szCs w:val="24"/>
        </w:rPr>
        <w:t>. В субве</w:t>
      </w:r>
      <w:r>
        <w:rPr>
          <w:sz w:val="24"/>
          <w:szCs w:val="24"/>
        </w:rPr>
        <w:t xml:space="preserve">нцию включены расходы на оплату </w:t>
      </w:r>
      <w:r w:rsidR="00153853" w:rsidRPr="00150AB8">
        <w:rPr>
          <w:sz w:val="24"/>
          <w:szCs w:val="24"/>
        </w:rPr>
        <w:t>труда педагогическим работникам, на приобретение средств обучения, игр, игрушек (за исключением расходов на содержание зданий и оплату коммунальных услуг), расходы, направленные на поддержку дошкольного образования в крае, в том числе: на выплаты стимулирующих надбавок педагогическим работникам муниципальных дошкольных образовательных организаций, на воспитание   и обучение детей-инвалидов в дошкольных органи</w:t>
      </w:r>
      <w:r w:rsidR="00452583" w:rsidRPr="00150AB8">
        <w:rPr>
          <w:sz w:val="24"/>
          <w:szCs w:val="24"/>
        </w:rPr>
        <w:t xml:space="preserve">зациях,  на выплату компенсации </w:t>
      </w:r>
      <w:r w:rsidR="00153853" w:rsidRPr="00150AB8">
        <w:rPr>
          <w:sz w:val="24"/>
          <w:szCs w:val="24"/>
        </w:rPr>
        <w:t>затрат родителей</w:t>
      </w:r>
      <w:r w:rsidR="00A729AA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(законных</w:t>
      </w:r>
      <w:r w:rsidR="00452583" w:rsidRPr="00150AB8">
        <w:rPr>
          <w:sz w:val="24"/>
          <w:szCs w:val="24"/>
        </w:rPr>
        <w:t xml:space="preserve"> </w:t>
      </w:r>
      <w:r w:rsidR="00153853" w:rsidRPr="00150AB8">
        <w:rPr>
          <w:sz w:val="24"/>
          <w:szCs w:val="24"/>
        </w:rPr>
        <w:t>представителей)</w:t>
      </w:r>
      <w:r w:rsidR="00452583" w:rsidRPr="00150AB8">
        <w:rPr>
          <w:sz w:val="24"/>
          <w:szCs w:val="24"/>
        </w:rPr>
        <w:t>.</w:t>
      </w:r>
      <w:r w:rsidR="00E139A8" w:rsidRPr="00150AB8">
        <w:rPr>
          <w:sz w:val="24"/>
          <w:szCs w:val="24"/>
        </w:rPr>
        <w:t xml:space="preserve"> </w:t>
      </w:r>
    </w:p>
    <w:p w:rsidR="00CD0747" w:rsidRDefault="00153853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t xml:space="preserve"> </w:t>
      </w:r>
      <w:r w:rsidR="00CD0747">
        <w:rPr>
          <w:sz w:val="24"/>
          <w:szCs w:val="24"/>
        </w:rPr>
        <w:t>По подразделу 07</w:t>
      </w:r>
      <w:r w:rsidR="00AD701A">
        <w:rPr>
          <w:sz w:val="24"/>
          <w:szCs w:val="24"/>
        </w:rPr>
        <w:t xml:space="preserve">02 «Общее образование» </w:t>
      </w:r>
      <w:r w:rsidR="00CD0747">
        <w:rPr>
          <w:sz w:val="24"/>
          <w:szCs w:val="24"/>
        </w:rPr>
        <w:t>предусмотрены б</w:t>
      </w:r>
      <w:r w:rsidRPr="00150AB8">
        <w:rPr>
          <w:sz w:val="24"/>
          <w:szCs w:val="24"/>
        </w:rPr>
        <w:t>юджетные ассигнования,</w:t>
      </w:r>
      <w:r w:rsidR="00CD0747">
        <w:rPr>
          <w:sz w:val="24"/>
          <w:szCs w:val="24"/>
        </w:rPr>
        <w:t xml:space="preserve"> </w:t>
      </w:r>
      <w:r w:rsidRPr="00150AB8">
        <w:rPr>
          <w:sz w:val="24"/>
          <w:szCs w:val="24"/>
        </w:rPr>
        <w:t>включаю</w:t>
      </w:r>
      <w:r w:rsidR="00CD0747">
        <w:rPr>
          <w:sz w:val="24"/>
          <w:szCs w:val="24"/>
        </w:rPr>
        <w:t>щие</w:t>
      </w:r>
      <w:r w:rsidRPr="00150AB8">
        <w:rPr>
          <w:sz w:val="24"/>
          <w:szCs w:val="24"/>
        </w:rPr>
        <w:t xml:space="preserve"> субвенцию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</w:r>
      <w:r w:rsidR="00CD0747">
        <w:rPr>
          <w:sz w:val="24"/>
          <w:szCs w:val="24"/>
        </w:rPr>
        <w:t>бщеобразовательных организациях.</w:t>
      </w:r>
      <w:r w:rsidRPr="00150AB8">
        <w:rPr>
          <w:sz w:val="24"/>
          <w:szCs w:val="24"/>
        </w:rPr>
        <w:t xml:space="preserve"> </w:t>
      </w:r>
      <w:r w:rsidR="00B30958" w:rsidRPr="00150AB8">
        <w:rPr>
          <w:sz w:val="24"/>
          <w:szCs w:val="24"/>
        </w:rPr>
        <w:t>О</w:t>
      </w:r>
      <w:r w:rsidRPr="00150AB8">
        <w:rPr>
          <w:sz w:val="24"/>
          <w:szCs w:val="24"/>
        </w:rPr>
        <w:t>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608CC" w:rsidRPr="00150AB8">
        <w:rPr>
          <w:sz w:val="24"/>
          <w:szCs w:val="24"/>
        </w:rPr>
        <w:t>ий и оплату коммунальных услуг)</w:t>
      </w:r>
      <w:r w:rsidR="00CD0747">
        <w:rPr>
          <w:sz w:val="24"/>
          <w:szCs w:val="24"/>
        </w:rPr>
        <w:t xml:space="preserve">. </w:t>
      </w:r>
    </w:p>
    <w:p w:rsidR="00153853" w:rsidRPr="00150AB8" w:rsidRDefault="00CD0747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предоставление субвенции </w:t>
      </w:r>
      <w:r w:rsidR="00153853" w:rsidRPr="00150AB8">
        <w:rPr>
          <w:sz w:val="24"/>
          <w:szCs w:val="24"/>
        </w:rPr>
        <w:t xml:space="preserve">для компенсационных выплат на питание обучающимся в муниципальных общеобразовательных учреждениях, нуждающимся в социальной поддержке, предусмотрен объем средств исходя из численности малообеспеченных детей и числа </w:t>
      </w:r>
      <w:proofErr w:type="spellStart"/>
      <w:r w:rsidR="00153853" w:rsidRPr="00150AB8">
        <w:rPr>
          <w:sz w:val="24"/>
          <w:szCs w:val="24"/>
        </w:rPr>
        <w:t>дето-дней</w:t>
      </w:r>
      <w:proofErr w:type="spellEnd"/>
      <w:r w:rsidR="00153853" w:rsidRPr="00150AB8">
        <w:rPr>
          <w:sz w:val="24"/>
          <w:szCs w:val="24"/>
        </w:rPr>
        <w:t xml:space="preserve"> питания.</w:t>
      </w:r>
    </w:p>
    <w:p w:rsidR="00926AE4" w:rsidRPr="00150AB8" w:rsidRDefault="00926AE4" w:rsidP="00AA572A">
      <w:pPr>
        <w:spacing w:after="0" w:line="240" w:lineRule="auto"/>
        <w:ind w:firstLine="709"/>
        <w:jc w:val="both"/>
        <w:rPr>
          <w:sz w:val="24"/>
          <w:szCs w:val="24"/>
        </w:rPr>
      </w:pPr>
      <w:r w:rsidRPr="00CD0747">
        <w:rPr>
          <w:sz w:val="24"/>
          <w:szCs w:val="24"/>
        </w:rPr>
        <w:t>По подразделу</w:t>
      </w:r>
      <w:r w:rsidR="00CD0747" w:rsidRPr="00CD0747">
        <w:rPr>
          <w:sz w:val="24"/>
          <w:szCs w:val="24"/>
        </w:rPr>
        <w:t xml:space="preserve"> 07 03</w:t>
      </w:r>
      <w:r w:rsidRPr="00CD0747">
        <w:rPr>
          <w:sz w:val="24"/>
          <w:szCs w:val="24"/>
        </w:rPr>
        <w:t xml:space="preserve">  « Дополнительное образование дет</w:t>
      </w:r>
      <w:r w:rsidR="00CD0747">
        <w:rPr>
          <w:sz w:val="24"/>
          <w:szCs w:val="24"/>
        </w:rPr>
        <w:t xml:space="preserve">ей» </w:t>
      </w:r>
      <w:r w:rsidRPr="00150AB8">
        <w:rPr>
          <w:sz w:val="24"/>
          <w:szCs w:val="24"/>
        </w:rPr>
        <w:t>предусматриваются бюджетные ассигнования районного бюджета на финансовое обеспечение выполне</w:t>
      </w:r>
      <w:r w:rsidR="00CD0747">
        <w:rPr>
          <w:sz w:val="24"/>
          <w:szCs w:val="24"/>
        </w:rPr>
        <w:t>ния государственного задания муниципального бюджетного учреждения</w:t>
      </w:r>
      <w:r w:rsidRPr="00150AB8">
        <w:rPr>
          <w:sz w:val="24"/>
          <w:szCs w:val="24"/>
        </w:rPr>
        <w:t xml:space="preserve">  дополнительного образования «Детская школа искусств им.</w:t>
      </w:r>
      <w:r w:rsidR="00F040D3">
        <w:rPr>
          <w:sz w:val="24"/>
          <w:szCs w:val="24"/>
        </w:rPr>
        <w:t xml:space="preserve"> </w:t>
      </w:r>
      <w:proofErr w:type="spellStart"/>
      <w:r w:rsidRPr="00150AB8">
        <w:rPr>
          <w:sz w:val="24"/>
          <w:szCs w:val="24"/>
        </w:rPr>
        <w:t>А.П.Лымарева</w:t>
      </w:r>
      <w:proofErr w:type="spellEnd"/>
      <w:r w:rsidRPr="00150AB8">
        <w:rPr>
          <w:sz w:val="24"/>
          <w:szCs w:val="24"/>
        </w:rPr>
        <w:t>»</w:t>
      </w:r>
    </w:p>
    <w:p w:rsidR="00CD0747" w:rsidRDefault="00153853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150AB8">
        <w:rPr>
          <w:sz w:val="24"/>
          <w:szCs w:val="24"/>
        </w:rPr>
        <w:t>По подразделу</w:t>
      </w:r>
      <w:r w:rsidR="00CD0747">
        <w:rPr>
          <w:sz w:val="24"/>
          <w:szCs w:val="24"/>
        </w:rPr>
        <w:t xml:space="preserve"> 07 </w:t>
      </w:r>
      <w:r w:rsidR="00721415">
        <w:rPr>
          <w:sz w:val="24"/>
          <w:szCs w:val="24"/>
        </w:rPr>
        <w:t>09</w:t>
      </w:r>
      <w:r w:rsidRPr="00150AB8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«Молодежная политика и оздоровление детей</w:t>
      </w:r>
      <w:r w:rsidRPr="00150AB8">
        <w:rPr>
          <w:i/>
          <w:sz w:val="24"/>
          <w:szCs w:val="24"/>
        </w:rPr>
        <w:t>»</w:t>
      </w:r>
      <w:r w:rsidRPr="00150AB8">
        <w:rPr>
          <w:sz w:val="24"/>
          <w:szCs w:val="24"/>
        </w:rPr>
        <w:t xml:space="preserve"> на</w:t>
      </w:r>
      <w:r w:rsidR="00D80C59" w:rsidRPr="00150AB8">
        <w:rPr>
          <w:sz w:val="24"/>
          <w:szCs w:val="24"/>
        </w:rPr>
        <w:t xml:space="preserve"> </w:t>
      </w:r>
      <w:r w:rsidR="00CB3526" w:rsidRPr="00150AB8">
        <w:rPr>
          <w:sz w:val="24"/>
          <w:szCs w:val="24"/>
        </w:rPr>
        <w:t>20</w:t>
      </w:r>
      <w:r w:rsidRPr="00150AB8">
        <w:rPr>
          <w:sz w:val="24"/>
          <w:szCs w:val="24"/>
        </w:rPr>
        <w:t>2</w:t>
      </w:r>
      <w:r w:rsidR="00CC64D2">
        <w:rPr>
          <w:sz w:val="24"/>
          <w:szCs w:val="24"/>
        </w:rPr>
        <w:t>5</w:t>
      </w:r>
      <w:r w:rsidRPr="00150AB8">
        <w:rPr>
          <w:sz w:val="24"/>
          <w:szCs w:val="24"/>
        </w:rPr>
        <w:t xml:space="preserve"> год предусмотрены расходы на содержание  летнего</w:t>
      </w:r>
      <w:r w:rsidR="009608CC" w:rsidRPr="00150AB8">
        <w:rPr>
          <w:sz w:val="24"/>
          <w:szCs w:val="24"/>
        </w:rPr>
        <w:t xml:space="preserve"> оздоровительного лагеря</w:t>
      </w:r>
      <w:r w:rsidRPr="00150AB8">
        <w:rPr>
          <w:sz w:val="24"/>
          <w:szCs w:val="24"/>
        </w:rPr>
        <w:t>.</w:t>
      </w:r>
    </w:p>
    <w:p w:rsidR="00153853" w:rsidRDefault="00CD0747" w:rsidP="00CD0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CD0747">
        <w:rPr>
          <w:sz w:val="24"/>
          <w:szCs w:val="24"/>
        </w:rPr>
        <w:t>п</w:t>
      </w:r>
      <w:r w:rsidR="00153853" w:rsidRPr="00CD0747">
        <w:rPr>
          <w:sz w:val="24"/>
          <w:szCs w:val="24"/>
        </w:rPr>
        <w:t>одраздел</w:t>
      </w:r>
      <w:r w:rsidRPr="00CD0747">
        <w:rPr>
          <w:sz w:val="24"/>
          <w:szCs w:val="24"/>
        </w:rPr>
        <w:t>у</w:t>
      </w:r>
      <w:r w:rsidR="00153853" w:rsidRPr="00CD0747">
        <w:rPr>
          <w:sz w:val="24"/>
          <w:szCs w:val="24"/>
        </w:rPr>
        <w:t xml:space="preserve"> «Другие вопросы в </w:t>
      </w:r>
      <w:r>
        <w:rPr>
          <w:sz w:val="24"/>
          <w:szCs w:val="24"/>
        </w:rPr>
        <w:t>области образования» предусмотрены субвенции в</w:t>
      </w:r>
      <w:r w:rsidR="00153853" w:rsidRPr="00150AB8">
        <w:rPr>
          <w:sz w:val="24"/>
          <w:szCs w:val="24"/>
        </w:rPr>
        <w:t xml:space="preserve"> целях финансового обеспечения полномочий Алтайского края, переданных для осуществления о</w:t>
      </w:r>
      <w:r>
        <w:rPr>
          <w:sz w:val="24"/>
          <w:szCs w:val="24"/>
        </w:rPr>
        <w:t>рганам местного самоуправления:</w:t>
      </w:r>
    </w:p>
    <w:p w:rsidR="00153853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 xml:space="preserve">на функционирование комиссий по делам несовершеннолетних и защите их прав в соответствии с законом Алтайского края от </w:t>
      </w:r>
      <w:r w:rsidR="00D00F45" w:rsidRPr="00CD0747">
        <w:rPr>
          <w:sz w:val="24"/>
          <w:szCs w:val="24"/>
        </w:rPr>
        <w:t>3сентя</w:t>
      </w:r>
      <w:r w:rsidRPr="00CD0747">
        <w:rPr>
          <w:sz w:val="24"/>
          <w:szCs w:val="24"/>
        </w:rPr>
        <w:t>бря 200</w:t>
      </w:r>
      <w:r w:rsidR="00D00F45" w:rsidRPr="00CD0747">
        <w:rPr>
          <w:sz w:val="24"/>
          <w:szCs w:val="24"/>
        </w:rPr>
        <w:t>7</w:t>
      </w:r>
      <w:r w:rsidRPr="00CD0747">
        <w:rPr>
          <w:sz w:val="24"/>
          <w:szCs w:val="24"/>
        </w:rPr>
        <w:t xml:space="preserve"> года</w:t>
      </w:r>
      <w:r w:rsidR="009608CC" w:rsidRPr="00CD0747">
        <w:rPr>
          <w:sz w:val="24"/>
          <w:szCs w:val="24"/>
        </w:rPr>
        <w:t xml:space="preserve"> </w:t>
      </w:r>
      <w:r w:rsidRPr="00CD0747">
        <w:rPr>
          <w:sz w:val="24"/>
          <w:szCs w:val="24"/>
        </w:rPr>
        <w:t>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152E22" w:rsidRPr="00CD0747">
        <w:rPr>
          <w:sz w:val="24"/>
          <w:szCs w:val="24"/>
        </w:rPr>
        <w:t>;</w:t>
      </w:r>
    </w:p>
    <w:p w:rsidR="00152E22" w:rsidRPr="00CD0747" w:rsidRDefault="00153853" w:rsidP="00CD0747">
      <w:pPr>
        <w:pStyle w:val="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CD0747">
        <w:rPr>
          <w:sz w:val="24"/>
          <w:szCs w:val="24"/>
        </w:rPr>
        <w:t>на осуществление полномочий в сфере организации и осуществления деятельности по опеке и попечительству, на основании закона Алтайского края от 25 декабря 2007 года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</w:t>
      </w:r>
      <w:r w:rsidR="00CD0747">
        <w:rPr>
          <w:sz w:val="24"/>
          <w:szCs w:val="24"/>
        </w:rPr>
        <w:t>шимися без попечения родителей»</w:t>
      </w:r>
      <w:r w:rsidR="00152E22" w:rsidRPr="00CD0747">
        <w:rPr>
          <w:sz w:val="24"/>
          <w:szCs w:val="24"/>
        </w:rPr>
        <w:t>.</w:t>
      </w:r>
    </w:p>
    <w:p w:rsidR="00F31D11" w:rsidRDefault="00152E22" w:rsidP="005E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0AB8">
        <w:rPr>
          <w:sz w:val="24"/>
          <w:szCs w:val="24"/>
        </w:rPr>
        <w:lastRenderedPageBreak/>
        <w:t xml:space="preserve"> </w:t>
      </w:r>
      <w:r w:rsidR="00153853" w:rsidRPr="00150AB8">
        <w:rPr>
          <w:sz w:val="24"/>
          <w:szCs w:val="24"/>
        </w:rPr>
        <w:t>Общий объем субвенций, передаваемых органам местного самоуправления районов, определяется на основании затрат на текущее содер</w:t>
      </w:r>
      <w:r w:rsidR="00F31D11">
        <w:rPr>
          <w:sz w:val="24"/>
          <w:szCs w:val="24"/>
        </w:rPr>
        <w:t>жание и оплату труда работников. К</w:t>
      </w:r>
      <w:r w:rsidR="00153853" w:rsidRPr="00150AB8">
        <w:rPr>
          <w:sz w:val="24"/>
          <w:szCs w:val="24"/>
        </w:rPr>
        <w:t xml:space="preserve">оличество штатных сотрудников рассчитывается с учетом статистических данных по контингенту детей. </w:t>
      </w:r>
    </w:p>
    <w:p w:rsidR="00F31D11" w:rsidRPr="00150AB8" w:rsidRDefault="00F31D11" w:rsidP="00AA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6C494D" w:rsidRDefault="006C494D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p w:rsidR="00153853" w:rsidRPr="00150AB8" w:rsidRDefault="00153853" w:rsidP="00F31D11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«Культура, кинематография»</w:t>
      </w:r>
    </w:p>
    <w:p w:rsidR="00F31D11" w:rsidRDefault="00F31D11" w:rsidP="009242EF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01 </w:t>
      </w:r>
      <w:r w:rsidR="00D12F36">
        <w:rPr>
          <w:sz w:val="24"/>
          <w:szCs w:val="24"/>
        </w:rPr>
        <w:t xml:space="preserve">«Культура» </w:t>
      </w:r>
      <w:r w:rsidRPr="00150AB8">
        <w:rPr>
          <w:sz w:val="24"/>
          <w:szCs w:val="24"/>
        </w:rPr>
        <w:t xml:space="preserve">предусматриваются бюджетные ассигнования районного бюджета на финансовое обеспечение выполнения государственного задания </w:t>
      </w:r>
      <w:r w:rsidR="009242EF">
        <w:rPr>
          <w:sz w:val="24"/>
          <w:szCs w:val="24"/>
        </w:rPr>
        <w:t>муниципального бюджетного учреждения культуры «Многофункциональный культурный центр Немецкого национального района Алтайского края» и его филиалов.</w:t>
      </w:r>
      <w:r w:rsidRPr="00150AB8">
        <w:rPr>
          <w:sz w:val="24"/>
          <w:szCs w:val="24"/>
        </w:rPr>
        <w:t xml:space="preserve"> </w:t>
      </w:r>
    </w:p>
    <w:p w:rsidR="00F31D11" w:rsidRDefault="00D12F36" w:rsidP="00D12F36">
      <w:pPr>
        <w:pStyle w:val="21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подразделу 08 04 «Другие вопросы в области культуры, кинематографии» </w:t>
      </w:r>
      <w:r w:rsidRPr="00150AB8">
        <w:rPr>
          <w:sz w:val="24"/>
          <w:szCs w:val="24"/>
        </w:rPr>
        <w:t>предусматриваются бюджетные ассигнования районного бюджета на</w:t>
      </w:r>
      <w:r>
        <w:rPr>
          <w:sz w:val="24"/>
          <w:szCs w:val="24"/>
        </w:rPr>
        <w:t xml:space="preserve"> </w:t>
      </w:r>
      <w:r w:rsidRPr="00150AB8">
        <w:rPr>
          <w:bCs/>
          <w:sz w:val="24"/>
          <w:szCs w:val="24"/>
        </w:rPr>
        <w:t>содержание аппарата культуры и централизованной бухгалтерии</w:t>
      </w:r>
      <w:r>
        <w:rPr>
          <w:bCs/>
          <w:sz w:val="24"/>
          <w:szCs w:val="24"/>
        </w:rPr>
        <w:t>.</w:t>
      </w:r>
    </w:p>
    <w:p w:rsidR="00D12F36" w:rsidRDefault="00D12F36" w:rsidP="00AA572A">
      <w:pPr>
        <w:spacing w:after="0" w:line="240" w:lineRule="auto"/>
        <w:ind w:right="-58" w:firstLine="709"/>
        <w:jc w:val="both"/>
        <w:rPr>
          <w:i/>
          <w:sz w:val="24"/>
          <w:szCs w:val="24"/>
        </w:rPr>
      </w:pPr>
    </w:p>
    <w:p w:rsidR="00CF6FCA" w:rsidRDefault="00153853" w:rsidP="00D12F36">
      <w:pPr>
        <w:spacing w:after="0" w:line="240" w:lineRule="auto"/>
        <w:ind w:right="-58" w:firstLine="709"/>
        <w:jc w:val="center"/>
        <w:rPr>
          <w:i/>
          <w:sz w:val="24"/>
          <w:szCs w:val="24"/>
        </w:rPr>
      </w:pPr>
      <w:r w:rsidRPr="00150AB8">
        <w:rPr>
          <w:i/>
          <w:sz w:val="24"/>
          <w:szCs w:val="24"/>
        </w:rPr>
        <w:t>Раздел «Социальная политика»</w:t>
      </w:r>
    </w:p>
    <w:p w:rsidR="00B32483" w:rsidRPr="005E4FA2" w:rsidRDefault="00B32483" w:rsidP="00495796">
      <w:pPr>
        <w:spacing w:after="0" w:line="240" w:lineRule="auto"/>
        <w:ind w:right="-58" w:firstLine="709"/>
        <w:jc w:val="both"/>
        <w:rPr>
          <w:strike/>
          <w:color w:val="FF0000"/>
          <w:sz w:val="24"/>
          <w:szCs w:val="24"/>
        </w:rPr>
      </w:pPr>
      <w:r w:rsidRPr="005E4FA2">
        <w:rPr>
          <w:sz w:val="24"/>
          <w:szCs w:val="24"/>
        </w:rPr>
        <w:t>По подразделу 10 01 «Пенсионное обеспе</w:t>
      </w:r>
      <w:r w:rsidR="00495796">
        <w:rPr>
          <w:sz w:val="24"/>
          <w:szCs w:val="24"/>
        </w:rPr>
        <w:t xml:space="preserve">чение» предусмотрены расходы по </w:t>
      </w:r>
      <w:r w:rsidRPr="005E4FA2">
        <w:rPr>
          <w:sz w:val="24"/>
          <w:szCs w:val="24"/>
        </w:rPr>
        <w:t>выплатам пенсии и доплат к пенсии муниципальным служащим.</w:t>
      </w:r>
    </w:p>
    <w:p w:rsidR="00EB658C" w:rsidRDefault="00D12F36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подразделу 10 04 «Охрана семьи и детства» </w:t>
      </w:r>
      <w:r w:rsidRPr="00150AB8">
        <w:rPr>
          <w:sz w:val="24"/>
          <w:szCs w:val="24"/>
        </w:rPr>
        <w:t>предусмотр</w:t>
      </w:r>
      <w:r w:rsidR="00EB658C">
        <w:rPr>
          <w:sz w:val="24"/>
          <w:szCs w:val="24"/>
        </w:rPr>
        <w:t>ены расходы из краевого бюджета с</w:t>
      </w:r>
      <w:r w:rsidR="00EB658C" w:rsidRPr="00150AB8">
        <w:rPr>
          <w:sz w:val="24"/>
          <w:szCs w:val="24"/>
        </w:rPr>
        <w:t>огласно закону Алтайского края от 28 апреля 2009 года № 27-ЗС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</w:t>
      </w:r>
      <w:r w:rsidR="00EB658C">
        <w:rPr>
          <w:sz w:val="24"/>
          <w:szCs w:val="24"/>
        </w:rPr>
        <w:t>х образовательную деятельность».</w:t>
      </w:r>
      <w:r w:rsidR="00EB658C" w:rsidRPr="00150AB8">
        <w:rPr>
          <w:sz w:val="24"/>
          <w:szCs w:val="24"/>
        </w:rPr>
        <w:t xml:space="preserve"> </w:t>
      </w:r>
      <w:proofErr w:type="gramEnd"/>
    </w:p>
    <w:p w:rsid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8320C" w:rsidRDefault="0068320C" w:rsidP="00EB658C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68320C">
        <w:rPr>
          <w:i/>
          <w:sz w:val="24"/>
          <w:szCs w:val="24"/>
        </w:rPr>
        <w:t xml:space="preserve">                                          Раздел </w:t>
      </w:r>
      <w:r>
        <w:rPr>
          <w:i/>
          <w:sz w:val="24"/>
          <w:szCs w:val="24"/>
        </w:rPr>
        <w:t>«Физическая культура и спорт»</w:t>
      </w:r>
    </w:p>
    <w:p w:rsidR="0068320C" w:rsidRPr="0068320C" w:rsidRDefault="0068320C" w:rsidP="00EB658C">
      <w:pPr>
        <w:spacing w:after="0" w:line="240" w:lineRule="auto"/>
        <w:ind w:firstLine="709"/>
        <w:jc w:val="both"/>
        <w:rPr>
          <w:sz w:val="24"/>
          <w:szCs w:val="24"/>
        </w:rPr>
      </w:pPr>
      <w:r w:rsidRPr="0068320C">
        <w:rPr>
          <w:sz w:val="24"/>
          <w:szCs w:val="24"/>
        </w:rPr>
        <w:t>По подразделу1101</w:t>
      </w:r>
      <w:r>
        <w:rPr>
          <w:sz w:val="24"/>
          <w:szCs w:val="24"/>
        </w:rPr>
        <w:t xml:space="preserve"> « Физическая культура» предусм</w:t>
      </w:r>
      <w:r w:rsidR="00F73C47">
        <w:rPr>
          <w:sz w:val="24"/>
          <w:szCs w:val="24"/>
        </w:rPr>
        <w:t>а</w:t>
      </w:r>
      <w:r>
        <w:rPr>
          <w:sz w:val="24"/>
          <w:szCs w:val="24"/>
        </w:rPr>
        <w:t>тр</w:t>
      </w:r>
      <w:r w:rsidR="00F73C47">
        <w:rPr>
          <w:sz w:val="24"/>
          <w:szCs w:val="24"/>
        </w:rPr>
        <w:t>иваются бюджетные ассигнования районного бюджета на финансовое обеспечение выполнения государственного задания муниципального бюджетного учреждения « Детско-юношеская спортивная школа»</w:t>
      </w:r>
    </w:p>
    <w:p w:rsidR="00D12F36" w:rsidRDefault="00002703" w:rsidP="00D12F36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002703">
        <w:rPr>
          <w:i/>
          <w:sz w:val="24"/>
          <w:szCs w:val="24"/>
        </w:rPr>
        <w:t>Раздел «Средства массовой информации</w:t>
      </w:r>
      <w:r w:rsidRPr="00002703">
        <w:rPr>
          <w:b/>
          <w:i/>
          <w:sz w:val="24"/>
          <w:szCs w:val="24"/>
        </w:rPr>
        <w:t>»</w:t>
      </w:r>
    </w:p>
    <w:p w:rsidR="00002703" w:rsidRPr="00002703" w:rsidRDefault="00002703" w:rsidP="00D12F36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703">
        <w:rPr>
          <w:sz w:val="24"/>
          <w:szCs w:val="24"/>
        </w:rPr>
        <w:t>По подразделу 1202 «Периодическая печать и издательство» предусматриваются бюджетные ассигнования на поддержку средств массовой информации</w:t>
      </w:r>
    </w:p>
    <w:p w:rsidR="00EB658C" w:rsidRPr="00002703" w:rsidRDefault="00EB658C" w:rsidP="00AA57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53853" w:rsidRPr="00150AB8" w:rsidRDefault="00153853" w:rsidP="005E4FA2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50AB8">
        <w:rPr>
          <w:i/>
          <w:sz w:val="24"/>
          <w:szCs w:val="24"/>
        </w:rPr>
        <w:t>Раздел «Межбюджетные трансферты общего характера бюджетам субъектов Российской Федерации и муниципальных образований»</w:t>
      </w:r>
    </w:p>
    <w:p w:rsidR="008213AE" w:rsidRDefault="00EE51EC" w:rsidP="00EE51EC">
      <w:pPr>
        <w:jc w:val="both"/>
        <w:rPr>
          <w:sz w:val="24"/>
          <w:szCs w:val="24"/>
        </w:rPr>
      </w:pPr>
      <w:r>
        <w:tab/>
      </w:r>
      <w:r w:rsidR="00EB658C" w:rsidRPr="00EE51EC">
        <w:rPr>
          <w:sz w:val="24"/>
          <w:szCs w:val="24"/>
        </w:rPr>
        <w:t xml:space="preserve">По подразделу </w:t>
      </w:r>
      <w:r w:rsidR="00153853" w:rsidRPr="00EE51EC">
        <w:rPr>
          <w:sz w:val="24"/>
          <w:szCs w:val="24"/>
        </w:rPr>
        <w:t xml:space="preserve"> </w:t>
      </w:r>
      <w:r w:rsidRPr="00EE51EC">
        <w:rPr>
          <w:sz w:val="24"/>
          <w:szCs w:val="24"/>
        </w:rPr>
        <w:t xml:space="preserve">14 01 </w:t>
      </w:r>
      <w:r w:rsidR="00153853" w:rsidRPr="00EE51EC">
        <w:rPr>
          <w:sz w:val="24"/>
          <w:szCs w:val="24"/>
        </w:rPr>
        <w:t>«Дотации на выравнивание бюджетной обеспеченности субъектов Российской Федерации и муниципальных образований»</w:t>
      </w:r>
      <w:r w:rsidRPr="00EE51EC">
        <w:rPr>
          <w:sz w:val="24"/>
          <w:szCs w:val="24"/>
        </w:rPr>
        <w:t xml:space="preserve"> отражены дотации на выравнивание бюджетной обеспеченности поселений.</w:t>
      </w:r>
      <w:r>
        <w:rPr>
          <w:sz w:val="24"/>
          <w:szCs w:val="24"/>
        </w:rPr>
        <w:t xml:space="preserve"> </w:t>
      </w:r>
      <w:r w:rsidR="008213AE" w:rsidRPr="00150AB8">
        <w:rPr>
          <w:sz w:val="24"/>
          <w:szCs w:val="24"/>
        </w:rPr>
        <w:t>С учетом новых подходов к распре</w:t>
      </w:r>
      <w:r>
        <w:rPr>
          <w:sz w:val="24"/>
          <w:szCs w:val="24"/>
        </w:rPr>
        <w:t>делению дотаций на выравнивание бюджетной обеспеченности,</w:t>
      </w:r>
      <w:r w:rsidR="008213AE" w:rsidRPr="00150AB8">
        <w:rPr>
          <w:sz w:val="24"/>
          <w:szCs w:val="24"/>
        </w:rPr>
        <w:t xml:space="preserve"> установленных Бюджетным кодексом Российской Федерации, объемы указанных</w:t>
      </w:r>
      <w:r>
        <w:rPr>
          <w:sz w:val="24"/>
          <w:szCs w:val="24"/>
        </w:rPr>
        <w:t xml:space="preserve"> дотаций определены исходя из </w:t>
      </w:r>
      <w:r w:rsidR="008213AE" w:rsidRPr="00150AB8">
        <w:rPr>
          <w:sz w:val="24"/>
          <w:szCs w:val="24"/>
        </w:rPr>
        <w:t xml:space="preserve">необходимости </w:t>
      </w:r>
      <w:proofErr w:type="gramStart"/>
      <w:r w:rsidR="008213AE" w:rsidRPr="00150AB8">
        <w:rPr>
          <w:sz w:val="24"/>
          <w:szCs w:val="24"/>
        </w:rPr>
        <w:t>достижения критерия выравнивания финансовых возможностей  поселений</w:t>
      </w:r>
      <w:proofErr w:type="gramEnd"/>
      <w:r w:rsidR="008213AE" w:rsidRPr="00150AB8">
        <w:rPr>
          <w:sz w:val="24"/>
          <w:szCs w:val="24"/>
        </w:rPr>
        <w:t xml:space="preserve">  по осуществлению органами местного самоуправления полномочий по решению вопросов местного значения в размере</w:t>
      </w:r>
      <w:r w:rsidR="0091145D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107</w:t>
      </w:r>
      <w:r w:rsidR="0091145D" w:rsidRPr="00150AB8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1145D" w:rsidRPr="00150AB8">
        <w:rPr>
          <w:sz w:val="24"/>
          <w:szCs w:val="24"/>
        </w:rPr>
        <w:t xml:space="preserve"> рубл</w:t>
      </w:r>
      <w:r w:rsidR="00DB605A">
        <w:rPr>
          <w:sz w:val="24"/>
          <w:szCs w:val="24"/>
        </w:rPr>
        <w:t>ей</w:t>
      </w:r>
      <w:r w:rsidR="0091145D" w:rsidRPr="00150AB8">
        <w:rPr>
          <w:sz w:val="24"/>
          <w:szCs w:val="24"/>
        </w:rPr>
        <w:t xml:space="preserve"> за сче</w:t>
      </w:r>
      <w:r w:rsidR="00B938D7" w:rsidRPr="00150AB8">
        <w:rPr>
          <w:sz w:val="24"/>
          <w:szCs w:val="24"/>
        </w:rPr>
        <w:t>т</w:t>
      </w:r>
      <w:r w:rsidR="0091145D" w:rsidRPr="00150AB8">
        <w:rPr>
          <w:sz w:val="24"/>
          <w:szCs w:val="24"/>
        </w:rPr>
        <w:t xml:space="preserve"> средств краевого бюджета</w:t>
      </w:r>
      <w:r w:rsidR="009E2B3C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и </w:t>
      </w:r>
      <w:r w:rsidR="005914AE" w:rsidRPr="00150AB8">
        <w:rPr>
          <w:sz w:val="24"/>
          <w:szCs w:val="24"/>
        </w:rPr>
        <w:t xml:space="preserve"> </w:t>
      </w:r>
      <w:r w:rsidR="00705094">
        <w:rPr>
          <w:sz w:val="24"/>
          <w:szCs w:val="24"/>
        </w:rPr>
        <w:t>529</w:t>
      </w:r>
      <w:r>
        <w:rPr>
          <w:sz w:val="24"/>
          <w:szCs w:val="24"/>
        </w:rPr>
        <w:t>,0</w:t>
      </w:r>
      <w:r w:rsidR="00A74523" w:rsidRPr="00150AB8">
        <w:rPr>
          <w:sz w:val="24"/>
          <w:szCs w:val="24"/>
        </w:rPr>
        <w:t xml:space="preserve"> </w:t>
      </w:r>
      <w:r w:rsidR="0091145D" w:rsidRPr="00150AB8">
        <w:rPr>
          <w:sz w:val="24"/>
          <w:szCs w:val="24"/>
        </w:rPr>
        <w:t xml:space="preserve"> рублей  за с</w:t>
      </w:r>
      <w:r>
        <w:rPr>
          <w:sz w:val="24"/>
          <w:szCs w:val="24"/>
        </w:rPr>
        <w:t>ч</w:t>
      </w:r>
      <w:r w:rsidR="0091145D" w:rsidRPr="00150AB8">
        <w:rPr>
          <w:sz w:val="24"/>
          <w:szCs w:val="24"/>
        </w:rPr>
        <w:t>ет средств районного бюджета</w:t>
      </w:r>
      <w:r w:rsidR="00B938D7" w:rsidRPr="00150AB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одного </w:t>
      </w:r>
      <w:r w:rsidR="00B938D7" w:rsidRPr="00150AB8">
        <w:rPr>
          <w:sz w:val="24"/>
          <w:szCs w:val="24"/>
        </w:rPr>
        <w:t>жителя</w:t>
      </w:r>
      <w:r w:rsidR="0091145D" w:rsidRPr="00150AB8">
        <w:rPr>
          <w:sz w:val="24"/>
          <w:szCs w:val="24"/>
        </w:rPr>
        <w:t>.</w:t>
      </w:r>
    </w:p>
    <w:p w:rsidR="00002703" w:rsidRDefault="00002703" w:rsidP="00EE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 подразделу 14 03 «Прочие межбюджетные трансферты общего характера» отражены межбюджетные трансферты по сельским поселениям.</w:t>
      </w:r>
    </w:p>
    <w:p w:rsidR="00446629" w:rsidRPr="00EE51EC" w:rsidRDefault="00446629" w:rsidP="00EE5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53853" w:rsidRPr="00150AB8" w:rsidRDefault="00153853" w:rsidP="00FD7BEC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153853" w:rsidRPr="00150AB8" w:rsidSect="007113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30F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E4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D82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C6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DC7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8EE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EC5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A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C2C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3BD0F00"/>
    <w:multiLevelType w:val="hybridMultilevel"/>
    <w:tmpl w:val="53FA0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644A13"/>
    <w:multiLevelType w:val="hybridMultilevel"/>
    <w:tmpl w:val="EE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065CF"/>
    <w:multiLevelType w:val="hybridMultilevel"/>
    <w:tmpl w:val="01CE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83235"/>
    <w:multiLevelType w:val="hybridMultilevel"/>
    <w:tmpl w:val="930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002AAE"/>
    <w:multiLevelType w:val="hybridMultilevel"/>
    <w:tmpl w:val="19486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7F1E71"/>
    <w:multiLevelType w:val="hybridMultilevel"/>
    <w:tmpl w:val="051EA37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276F025F"/>
    <w:multiLevelType w:val="hybridMultilevel"/>
    <w:tmpl w:val="527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64373"/>
    <w:multiLevelType w:val="hybridMultilevel"/>
    <w:tmpl w:val="9500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03802"/>
    <w:multiLevelType w:val="hybridMultilevel"/>
    <w:tmpl w:val="E9DC4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9267E9"/>
    <w:multiLevelType w:val="hybridMultilevel"/>
    <w:tmpl w:val="222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35F79"/>
    <w:multiLevelType w:val="hybridMultilevel"/>
    <w:tmpl w:val="EBD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4531D"/>
    <w:multiLevelType w:val="hybridMultilevel"/>
    <w:tmpl w:val="B2B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57886"/>
    <w:multiLevelType w:val="hybridMultilevel"/>
    <w:tmpl w:val="FC74A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8A7CB2"/>
    <w:multiLevelType w:val="hybridMultilevel"/>
    <w:tmpl w:val="368A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F40C1"/>
    <w:multiLevelType w:val="hybridMultilevel"/>
    <w:tmpl w:val="B57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D1926"/>
    <w:multiLevelType w:val="hybridMultilevel"/>
    <w:tmpl w:val="E7AE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70BC0"/>
    <w:multiLevelType w:val="hybridMultilevel"/>
    <w:tmpl w:val="C6E27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746B2E"/>
    <w:multiLevelType w:val="hybridMultilevel"/>
    <w:tmpl w:val="1BA6F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FE7630"/>
    <w:multiLevelType w:val="hybridMultilevel"/>
    <w:tmpl w:val="CA4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C6719C"/>
    <w:multiLevelType w:val="hybridMultilevel"/>
    <w:tmpl w:val="9C48E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DD66A2"/>
    <w:multiLevelType w:val="hybridMultilevel"/>
    <w:tmpl w:val="686A3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7B0C0E"/>
    <w:multiLevelType w:val="hybridMultilevel"/>
    <w:tmpl w:val="71A67E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5A77E00"/>
    <w:multiLevelType w:val="hybridMultilevel"/>
    <w:tmpl w:val="465CCC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72C1254F"/>
    <w:multiLevelType w:val="hybridMultilevel"/>
    <w:tmpl w:val="08E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B1B8E"/>
    <w:multiLevelType w:val="hybridMultilevel"/>
    <w:tmpl w:val="93F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B4A99"/>
    <w:multiLevelType w:val="hybridMultilevel"/>
    <w:tmpl w:val="1376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12310"/>
    <w:multiLevelType w:val="hybridMultilevel"/>
    <w:tmpl w:val="91607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5933DA"/>
    <w:multiLevelType w:val="hybridMultilevel"/>
    <w:tmpl w:val="E3A262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28"/>
  </w:num>
  <w:num w:numId="14">
    <w:abstractNumId w:val="14"/>
  </w:num>
  <w:num w:numId="15">
    <w:abstractNumId w:val="37"/>
  </w:num>
  <w:num w:numId="16">
    <w:abstractNumId w:val="26"/>
  </w:num>
  <w:num w:numId="17">
    <w:abstractNumId w:val="23"/>
  </w:num>
  <w:num w:numId="18">
    <w:abstractNumId w:val="24"/>
  </w:num>
  <w:num w:numId="19">
    <w:abstractNumId w:val="11"/>
  </w:num>
  <w:num w:numId="20">
    <w:abstractNumId w:val="18"/>
  </w:num>
  <w:num w:numId="21">
    <w:abstractNumId w:val="38"/>
  </w:num>
  <w:num w:numId="22">
    <w:abstractNumId w:val="33"/>
  </w:num>
  <w:num w:numId="23">
    <w:abstractNumId w:val="16"/>
  </w:num>
  <w:num w:numId="24">
    <w:abstractNumId w:val="32"/>
  </w:num>
  <w:num w:numId="25">
    <w:abstractNumId w:val="29"/>
  </w:num>
  <w:num w:numId="26">
    <w:abstractNumId w:val="35"/>
  </w:num>
  <w:num w:numId="27">
    <w:abstractNumId w:val="22"/>
  </w:num>
  <w:num w:numId="28">
    <w:abstractNumId w:val="25"/>
  </w:num>
  <w:num w:numId="29">
    <w:abstractNumId w:val="20"/>
  </w:num>
  <w:num w:numId="30">
    <w:abstractNumId w:val="30"/>
  </w:num>
  <w:num w:numId="31">
    <w:abstractNumId w:val="13"/>
  </w:num>
  <w:num w:numId="32">
    <w:abstractNumId w:val="12"/>
  </w:num>
  <w:num w:numId="33">
    <w:abstractNumId w:val="36"/>
  </w:num>
  <w:num w:numId="34">
    <w:abstractNumId w:val="27"/>
  </w:num>
  <w:num w:numId="35">
    <w:abstractNumId w:val="15"/>
  </w:num>
  <w:num w:numId="36">
    <w:abstractNumId w:val="21"/>
  </w:num>
  <w:num w:numId="37">
    <w:abstractNumId w:val="34"/>
  </w:num>
  <w:num w:numId="38">
    <w:abstractNumId w:val="19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D6"/>
    <w:rsid w:val="00000E90"/>
    <w:rsid w:val="00002046"/>
    <w:rsid w:val="00002703"/>
    <w:rsid w:val="00021D2D"/>
    <w:rsid w:val="00024B70"/>
    <w:rsid w:val="0002586F"/>
    <w:rsid w:val="0002751E"/>
    <w:rsid w:val="0003461B"/>
    <w:rsid w:val="000428AD"/>
    <w:rsid w:val="00045DAA"/>
    <w:rsid w:val="00045FD3"/>
    <w:rsid w:val="000478EB"/>
    <w:rsid w:val="00047EC8"/>
    <w:rsid w:val="00051099"/>
    <w:rsid w:val="0005191F"/>
    <w:rsid w:val="00055776"/>
    <w:rsid w:val="00062A10"/>
    <w:rsid w:val="00072250"/>
    <w:rsid w:val="00081621"/>
    <w:rsid w:val="0008283B"/>
    <w:rsid w:val="00087860"/>
    <w:rsid w:val="000A3BB5"/>
    <w:rsid w:val="000A7C9A"/>
    <w:rsid w:val="000B0CB4"/>
    <w:rsid w:val="000B112B"/>
    <w:rsid w:val="000B46C3"/>
    <w:rsid w:val="000B67D3"/>
    <w:rsid w:val="000C61FC"/>
    <w:rsid w:val="000C64AC"/>
    <w:rsid w:val="000D2691"/>
    <w:rsid w:val="000D4648"/>
    <w:rsid w:val="000D58EA"/>
    <w:rsid w:val="000D692B"/>
    <w:rsid w:val="000D76AF"/>
    <w:rsid w:val="000E32D9"/>
    <w:rsid w:val="000E418E"/>
    <w:rsid w:val="000E4F1F"/>
    <w:rsid w:val="000E5B67"/>
    <w:rsid w:val="000F00CD"/>
    <w:rsid w:val="000F2BF9"/>
    <w:rsid w:val="00101B56"/>
    <w:rsid w:val="00101ED0"/>
    <w:rsid w:val="00111C8F"/>
    <w:rsid w:val="00116A31"/>
    <w:rsid w:val="00123427"/>
    <w:rsid w:val="0012544F"/>
    <w:rsid w:val="001255E7"/>
    <w:rsid w:val="001312E0"/>
    <w:rsid w:val="0013720F"/>
    <w:rsid w:val="001376C7"/>
    <w:rsid w:val="00143D30"/>
    <w:rsid w:val="0014670D"/>
    <w:rsid w:val="00150AB8"/>
    <w:rsid w:val="00151007"/>
    <w:rsid w:val="001513F6"/>
    <w:rsid w:val="00151D9A"/>
    <w:rsid w:val="00152251"/>
    <w:rsid w:val="00152B28"/>
    <w:rsid w:val="00152E22"/>
    <w:rsid w:val="00153853"/>
    <w:rsid w:val="00154927"/>
    <w:rsid w:val="001555B4"/>
    <w:rsid w:val="001556C7"/>
    <w:rsid w:val="00157AFB"/>
    <w:rsid w:val="001622AE"/>
    <w:rsid w:val="00162BA2"/>
    <w:rsid w:val="00165B21"/>
    <w:rsid w:val="00174E4F"/>
    <w:rsid w:val="00183BAF"/>
    <w:rsid w:val="0018528D"/>
    <w:rsid w:val="001860CE"/>
    <w:rsid w:val="00186CC1"/>
    <w:rsid w:val="001904BB"/>
    <w:rsid w:val="0019234F"/>
    <w:rsid w:val="0019393A"/>
    <w:rsid w:val="00193DA3"/>
    <w:rsid w:val="00196149"/>
    <w:rsid w:val="00196F0D"/>
    <w:rsid w:val="001A2364"/>
    <w:rsid w:val="001A3618"/>
    <w:rsid w:val="001A3A41"/>
    <w:rsid w:val="001A72F1"/>
    <w:rsid w:val="001B2C68"/>
    <w:rsid w:val="001B4662"/>
    <w:rsid w:val="001B7F4C"/>
    <w:rsid w:val="001C0744"/>
    <w:rsid w:val="001C1790"/>
    <w:rsid w:val="001C17DB"/>
    <w:rsid w:val="001C2381"/>
    <w:rsid w:val="001C31A5"/>
    <w:rsid w:val="001C3339"/>
    <w:rsid w:val="001C49B6"/>
    <w:rsid w:val="001D42F0"/>
    <w:rsid w:val="001D4564"/>
    <w:rsid w:val="001E2805"/>
    <w:rsid w:val="001E295F"/>
    <w:rsid w:val="001F0D34"/>
    <w:rsid w:val="001F4C40"/>
    <w:rsid w:val="001F5CC6"/>
    <w:rsid w:val="001F61FD"/>
    <w:rsid w:val="002031D9"/>
    <w:rsid w:val="002065ED"/>
    <w:rsid w:val="00215AF3"/>
    <w:rsid w:val="00217D26"/>
    <w:rsid w:val="00221277"/>
    <w:rsid w:val="0022135B"/>
    <w:rsid w:val="002224DA"/>
    <w:rsid w:val="00223158"/>
    <w:rsid w:val="002300FD"/>
    <w:rsid w:val="00230360"/>
    <w:rsid w:val="00231AA8"/>
    <w:rsid w:val="00233019"/>
    <w:rsid w:val="00233482"/>
    <w:rsid w:val="00235024"/>
    <w:rsid w:val="00245186"/>
    <w:rsid w:val="00250A0D"/>
    <w:rsid w:val="002554EE"/>
    <w:rsid w:val="002617C2"/>
    <w:rsid w:val="00262280"/>
    <w:rsid w:val="0026371A"/>
    <w:rsid w:val="00265F76"/>
    <w:rsid w:val="0026621F"/>
    <w:rsid w:val="00267348"/>
    <w:rsid w:val="002718C1"/>
    <w:rsid w:val="0027481A"/>
    <w:rsid w:val="002829E4"/>
    <w:rsid w:val="00283750"/>
    <w:rsid w:val="0028485E"/>
    <w:rsid w:val="00296BDF"/>
    <w:rsid w:val="00297251"/>
    <w:rsid w:val="002A29C8"/>
    <w:rsid w:val="002A37B4"/>
    <w:rsid w:val="002A45A9"/>
    <w:rsid w:val="002B159E"/>
    <w:rsid w:val="002B6AF8"/>
    <w:rsid w:val="002C093E"/>
    <w:rsid w:val="002C1E16"/>
    <w:rsid w:val="002C6ACC"/>
    <w:rsid w:val="002D191C"/>
    <w:rsid w:val="002D6848"/>
    <w:rsid w:val="002E08C9"/>
    <w:rsid w:val="002E1520"/>
    <w:rsid w:val="002F1A6F"/>
    <w:rsid w:val="002F4363"/>
    <w:rsid w:val="002F4A3F"/>
    <w:rsid w:val="0030056F"/>
    <w:rsid w:val="00303442"/>
    <w:rsid w:val="00311215"/>
    <w:rsid w:val="00311C7E"/>
    <w:rsid w:val="0031381A"/>
    <w:rsid w:val="00313E06"/>
    <w:rsid w:val="00314937"/>
    <w:rsid w:val="0031497E"/>
    <w:rsid w:val="00322CB8"/>
    <w:rsid w:val="00322E20"/>
    <w:rsid w:val="00323784"/>
    <w:rsid w:val="00323C93"/>
    <w:rsid w:val="00326CC3"/>
    <w:rsid w:val="0032732D"/>
    <w:rsid w:val="003300D6"/>
    <w:rsid w:val="003321D7"/>
    <w:rsid w:val="003326BE"/>
    <w:rsid w:val="00332BEE"/>
    <w:rsid w:val="003348A9"/>
    <w:rsid w:val="00336425"/>
    <w:rsid w:val="003367A0"/>
    <w:rsid w:val="0033743E"/>
    <w:rsid w:val="00340EF8"/>
    <w:rsid w:val="00344FAE"/>
    <w:rsid w:val="00346029"/>
    <w:rsid w:val="00352861"/>
    <w:rsid w:val="00352D05"/>
    <w:rsid w:val="00354DB5"/>
    <w:rsid w:val="00364C2F"/>
    <w:rsid w:val="00365572"/>
    <w:rsid w:val="00366A24"/>
    <w:rsid w:val="00366D38"/>
    <w:rsid w:val="0036780A"/>
    <w:rsid w:val="003709DA"/>
    <w:rsid w:val="00375A88"/>
    <w:rsid w:val="00377094"/>
    <w:rsid w:val="0038206B"/>
    <w:rsid w:val="00386717"/>
    <w:rsid w:val="00387908"/>
    <w:rsid w:val="003910D1"/>
    <w:rsid w:val="00396888"/>
    <w:rsid w:val="00397CD6"/>
    <w:rsid w:val="003A349A"/>
    <w:rsid w:val="003A6318"/>
    <w:rsid w:val="003B1C5E"/>
    <w:rsid w:val="003B4935"/>
    <w:rsid w:val="003B5EAC"/>
    <w:rsid w:val="003B5F36"/>
    <w:rsid w:val="003C067E"/>
    <w:rsid w:val="003C4E50"/>
    <w:rsid w:val="003C7715"/>
    <w:rsid w:val="003D11A0"/>
    <w:rsid w:val="003D24F9"/>
    <w:rsid w:val="003D7CDD"/>
    <w:rsid w:val="003E3716"/>
    <w:rsid w:val="003E3C18"/>
    <w:rsid w:val="003E3CBA"/>
    <w:rsid w:val="00400F1D"/>
    <w:rsid w:val="0040594F"/>
    <w:rsid w:val="004074C7"/>
    <w:rsid w:val="004103AB"/>
    <w:rsid w:val="00411AE4"/>
    <w:rsid w:val="004122B3"/>
    <w:rsid w:val="00413D44"/>
    <w:rsid w:val="0041400F"/>
    <w:rsid w:val="00415B6B"/>
    <w:rsid w:val="00416B07"/>
    <w:rsid w:val="00417119"/>
    <w:rsid w:val="004171BB"/>
    <w:rsid w:val="00417276"/>
    <w:rsid w:val="00420DB6"/>
    <w:rsid w:val="004212C5"/>
    <w:rsid w:val="004339C6"/>
    <w:rsid w:val="00441659"/>
    <w:rsid w:val="00444FF3"/>
    <w:rsid w:val="00446629"/>
    <w:rsid w:val="004501D9"/>
    <w:rsid w:val="00452583"/>
    <w:rsid w:val="00453B76"/>
    <w:rsid w:val="00454ECB"/>
    <w:rsid w:val="0046069A"/>
    <w:rsid w:val="0046498C"/>
    <w:rsid w:val="00465C96"/>
    <w:rsid w:val="00465D04"/>
    <w:rsid w:val="00467344"/>
    <w:rsid w:val="00467E80"/>
    <w:rsid w:val="00470126"/>
    <w:rsid w:val="00475752"/>
    <w:rsid w:val="00477136"/>
    <w:rsid w:val="004774B9"/>
    <w:rsid w:val="004817CC"/>
    <w:rsid w:val="00482788"/>
    <w:rsid w:val="00485A18"/>
    <w:rsid w:val="004875B3"/>
    <w:rsid w:val="00495796"/>
    <w:rsid w:val="00496691"/>
    <w:rsid w:val="004970F1"/>
    <w:rsid w:val="004A23A1"/>
    <w:rsid w:val="004A5457"/>
    <w:rsid w:val="004A629B"/>
    <w:rsid w:val="004A7B1D"/>
    <w:rsid w:val="004C230B"/>
    <w:rsid w:val="004C2E3F"/>
    <w:rsid w:val="004C7085"/>
    <w:rsid w:val="004D3A69"/>
    <w:rsid w:val="004E001F"/>
    <w:rsid w:val="004E28F7"/>
    <w:rsid w:val="004E5D1D"/>
    <w:rsid w:val="004E6E0E"/>
    <w:rsid w:val="004E6E8B"/>
    <w:rsid w:val="004F015D"/>
    <w:rsid w:val="004F5E48"/>
    <w:rsid w:val="004F781A"/>
    <w:rsid w:val="005001A6"/>
    <w:rsid w:val="00500FF4"/>
    <w:rsid w:val="005033B2"/>
    <w:rsid w:val="005060A3"/>
    <w:rsid w:val="005111DD"/>
    <w:rsid w:val="005122AA"/>
    <w:rsid w:val="005146AC"/>
    <w:rsid w:val="00521A33"/>
    <w:rsid w:val="00522901"/>
    <w:rsid w:val="005240A9"/>
    <w:rsid w:val="0052426C"/>
    <w:rsid w:val="005258CC"/>
    <w:rsid w:val="005269C1"/>
    <w:rsid w:val="00531E45"/>
    <w:rsid w:val="00536CDF"/>
    <w:rsid w:val="005425CD"/>
    <w:rsid w:val="00543D83"/>
    <w:rsid w:val="0054758D"/>
    <w:rsid w:val="00557956"/>
    <w:rsid w:val="00560B7F"/>
    <w:rsid w:val="00562A22"/>
    <w:rsid w:val="005646DF"/>
    <w:rsid w:val="00572BD5"/>
    <w:rsid w:val="00577220"/>
    <w:rsid w:val="00582CF6"/>
    <w:rsid w:val="0058365F"/>
    <w:rsid w:val="00584B32"/>
    <w:rsid w:val="00587222"/>
    <w:rsid w:val="0059074F"/>
    <w:rsid w:val="005914AE"/>
    <w:rsid w:val="00595770"/>
    <w:rsid w:val="005A028A"/>
    <w:rsid w:val="005A2085"/>
    <w:rsid w:val="005A5C79"/>
    <w:rsid w:val="005B4908"/>
    <w:rsid w:val="005B6053"/>
    <w:rsid w:val="005C03DC"/>
    <w:rsid w:val="005C30CC"/>
    <w:rsid w:val="005C67DA"/>
    <w:rsid w:val="005C6DD3"/>
    <w:rsid w:val="005D5241"/>
    <w:rsid w:val="005E1322"/>
    <w:rsid w:val="005E162C"/>
    <w:rsid w:val="005E4FA2"/>
    <w:rsid w:val="005F4D33"/>
    <w:rsid w:val="005F55D4"/>
    <w:rsid w:val="005F5919"/>
    <w:rsid w:val="005F74CF"/>
    <w:rsid w:val="006035AD"/>
    <w:rsid w:val="006128B8"/>
    <w:rsid w:val="00615AB5"/>
    <w:rsid w:val="00616A76"/>
    <w:rsid w:val="006213E0"/>
    <w:rsid w:val="00622148"/>
    <w:rsid w:val="006230F1"/>
    <w:rsid w:val="006237C0"/>
    <w:rsid w:val="00624941"/>
    <w:rsid w:val="00627440"/>
    <w:rsid w:val="0062766C"/>
    <w:rsid w:val="00630BF3"/>
    <w:rsid w:val="006333CE"/>
    <w:rsid w:val="006419F8"/>
    <w:rsid w:val="00642269"/>
    <w:rsid w:val="00643DE4"/>
    <w:rsid w:val="0064565B"/>
    <w:rsid w:val="00645A3C"/>
    <w:rsid w:val="00650D28"/>
    <w:rsid w:val="00653701"/>
    <w:rsid w:val="006565EE"/>
    <w:rsid w:val="00661E81"/>
    <w:rsid w:val="006636B4"/>
    <w:rsid w:val="006650A5"/>
    <w:rsid w:val="00670202"/>
    <w:rsid w:val="006712B8"/>
    <w:rsid w:val="00672D0F"/>
    <w:rsid w:val="0067665D"/>
    <w:rsid w:val="00681D73"/>
    <w:rsid w:val="00681F2E"/>
    <w:rsid w:val="0068320C"/>
    <w:rsid w:val="00694237"/>
    <w:rsid w:val="00697B25"/>
    <w:rsid w:val="006A0618"/>
    <w:rsid w:val="006A08A1"/>
    <w:rsid w:val="006A3781"/>
    <w:rsid w:val="006A5054"/>
    <w:rsid w:val="006B1CBD"/>
    <w:rsid w:val="006B3120"/>
    <w:rsid w:val="006B550B"/>
    <w:rsid w:val="006B5862"/>
    <w:rsid w:val="006B5CEC"/>
    <w:rsid w:val="006C2128"/>
    <w:rsid w:val="006C36E1"/>
    <w:rsid w:val="006C3C1E"/>
    <w:rsid w:val="006C494D"/>
    <w:rsid w:val="006C5033"/>
    <w:rsid w:val="006C7E58"/>
    <w:rsid w:val="006D3178"/>
    <w:rsid w:val="006D44F6"/>
    <w:rsid w:val="006D483B"/>
    <w:rsid w:val="006E4294"/>
    <w:rsid w:val="006E6151"/>
    <w:rsid w:val="006E6D9A"/>
    <w:rsid w:val="006F0D99"/>
    <w:rsid w:val="006F342F"/>
    <w:rsid w:val="006F4D5A"/>
    <w:rsid w:val="006F674D"/>
    <w:rsid w:val="00700EFC"/>
    <w:rsid w:val="00704B6E"/>
    <w:rsid w:val="00705094"/>
    <w:rsid w:val="00705A39"/>
    <w:rsid w:val="007113F8"/>
    <w:rsid w:val="00713053"/>
    <w:rsid w:val="00715BF1"/>
    <w:rsid w:val="00721415"/>
    <w:rsid w:val="00721BD4"/>
    <w:rsid w:val="00722654"/>
    <w:rsid w:val="00725635"/>
    <w:rsid w:val="007263B2"/>
    <w:rsid w:val="00731EFA"/>
    <w:rsid w:val="007343A3"/>
    <w:rsid w:val="00734BD4"/>
    <w:rsid w:val="007374F1"/>
    <w:rsid w:val="007412DD"/>
    <w:rsid w:val="00746E19"/>
    <w:rsid w:val="00752023"/>
    <w:rsid w:val="0075244C"/>
    <w:rsid w:val="00752F37"/>
    <w:rsid w:val="00755B93"/>
    <w:rsid w:val="00756E59"/>
    <w:rsid w:val="0076002A"/>
    <w:rsid w:val="0076050F"/>
    <w:rsid w:val="007629F8"/>
    <w:rsid w:val="00771A07"/>
    <w:rsid w:val="00774D9E"/>
    <w:rsid w:val="007758CE"/>
    <w:rsid w:val="00777B9D"/>
    <w:rsid w:val="00791516"/>
    <w:rsid w:val="00792437"/>
    <w:rsid w:val="00793DE0"/>
    <w:rsid w:val="00793F2D"/>
    <w:rsid w:val="00794497"/>
    <w:rsid w:val="00794B1A"/>
    <w:rsid w:val="00794D59"/>
    <w:rsid w:val="00794E2A"/>
    <w:rsid w:val="007971B7"/>
    <w:rsid w:val="007A12DA"/>
    <w:rsid w:val="007A1B1A"/>
    <w:rsid w:val="007A4593"/>
    <w:rsid w:val="007A6BD6"/>
    <w:rsid w:val="007B2312"/>
    <w:rsid w:val="007B3FAC"/>
    <w:rsid w:val="007B513B"/>
    <w:rsid w:val="007B5C6C"/>
    <w:rsid w:val="007C1D7C"/>
    <w:rsid w:val="007C4EE4"/>
    <w:rsid w:val="007D0085"/>
    <w:rsid w:val="007D014C"/>
    <w:rsid w:val="007D21B5"/>
    <w:rsid w:val="007D4313"/>
    <w:rsid w:val="007D5E08"/>
    <w:rsid w:val="007D64C7"/>
    <w:rsid w:val="007E0912"/>
    <w:rsid w:val="007E21D0"/>
    <w:rsid w:val="007E3C10"/>
    <w:rsid w:val="007E4D24"/>
    <w:rsid w:val="007E68EE"/>
    <w:rsid w:val="007F2BC3"/>
    <w:rsid w:val="007F2CEC"/>
    <w:rsid w:val="007F7327"/>
    <w:rsid w:val="00801CFC"/>
    <w:rsid w:val="00802DAB"/>
    <w:rsid w:val="008041E7"/>
    <w:rsid w:val="00804ED6"/>
    <w:rsid w:val="00811B88"/>
    <w:rsid w:val="008133FD"/>
    <w:rsid w:val="00814116"/>
    <w:rsid w:val="008213AE"/>
    <w:rsid w:val="00822249"/>
    <w:rsid w:val="00824C49"/>
    <w:rsid w:val="00825BAF"/>
    <w:rsid w:val="00827603"/>
    <w:rsid w:val="00827EBB"/>
    <w:rsid w:val="0083263B"/>
    <w:rsid w:val="0083465F"/>
    <w:rsid w:val="00836E68"/>
    <w:rsid w:val="00842118"/>
    <w:rsid w:val="00842557"/>
    <w:rsid w:val="00842AEC"/>
    <w:rsid w:val="008461D0"/>
    <w:rsid w:val="0084636F"/>
    <w:rsid w:val="00847BDB"/>
    <w:rsid w:val="00853124"/>
    <w:rsid w:val="00855929"/>
    <w:rsid w:val="00855ABB"/>
    <w:rsid w:val="008629CF"/>
    <w:rsid w:val="00873250"/>
    <w:rsid w:val="00874F92"/>
    <w:rsid w:val="00876A19"/>
    <w:rsid w:val="00882F66"/>
    <w:rsid w:val="00884B83"/>
    <w:rsid w:val="00885CA1"/>
    <w:rsid w:val="008936E7"/>
    <w:rsid w:val="00894B49"/>
    <w:rsid w:val="00895AEC"/>
    <w:rsid w:val="00896C5C"/>
    <w:rsid w:val="008B0424"/>
    <w:rsid w:val="008B4D40"/>
    <w:rsid w:val="008B52B6"/>
    <w:rsid w:val="008B63FF"/>
    <w:rsid w:val="008B67CA"/>
    <w:rsid w:val="008C454F"/>
    <w:rsid w:val="008C49C0"/>
    <w:rsid w:val="008C5D94"/>
    <w:rsid w:val="008C6A29"/>
    <w:rsid w:val="008C7E91"/>
    <w:rsid w:val="008D71E9"/>
    <w:rsid w:val="008D748B"/>
    <w:rsid w:val="008D7890"/>
    <w:rsid w:val="008E1C96"/>
    <w:rsid w:val="008F0A84"/>
    <w:rsid w:val="008F36BD"/>
    <w:rsid w:val="008F5E7C"/>
    <w:rsid w:val="008F7263"/>
    <w:rsid w:val="00902487"/>
    <w:rsid w:val="00904978"/>
    <w:rsid w:val="0091145D"/>
    <w:rsid w:val="00913621"/>
    <w:rsid w:val="00922D5E"/>
    <w:rsid w:val="009242EF"/>
    <w:rsid w:val="00924B0B"/>
    <w:rsid w:val="00926AE4"/>
    <w:rsid w:val="009379CF"/>
    <w:rsid w:val="00937FD8"/>
    <w:rsid w:val="00944117"/>
    <w:rsid w:val="00944E4C"/>
    <w:rsid w:val="00945129"/>
    <w:rsid w:val="009461A6"/>
    <w:rsid w:val="00947AF1"/>
    <w:rsid w:val="009534AB"/>
    <w:rsid w:val="009608CC"/>
    <w:rsid w:val="00962DDC"/>
    <w:rsid w:val="009673EB"/>
    <w:rsid w:val="009752BD"/>
    <w:rsid w:val="009758FE"/>
    <w:rsid w:val="00976387"/>
    <w:rsid w:val="0097681B"/>
    <w:rsid w:val="00980FBC"/>
    <w:rsid w:val="00981A6C"/>
    <w:rsid w:val="00982036"/>
    <w:rsid w:val="009823FD"/>
    <w:rsid w:val="009849F7"/>
    <w:rsid w:val="00990463"/>
    <w:rsid w:val="0099241F"/>
    <w:rsid w:val="009927B8"/>
    <w:rsid w:val="00996DB9"/>
    <w:rsid w:val="00997A6C"/>
    <w:rsid w:val="009A29A2"/>
    <w:rsid w:val="009A364C"/>
    <w:rsid w:val="009A4249"/>
    <w:rsid w:val="009A63C8"/>
    <w:rsid w:val="009A7326"/>
    <w:rsid w:val="009B37E3"/>
    <w:rsid w:val="009B64D8"/>
    <w:rsid w:val="009B7702"/>
    <w:rsid w:val="009C25FB"/>
    <w:rsid w:val="009C4195"/>
    <w:rsid w:val="009C455F"/>
    <w:rsid w:val="009C62B0"/>
    <w:rsid w:val="009D52A7"/>
    <w:rsid w:val="009D52DA"/>
    <w:rsid w:val="009D5507"/>
    <w:rsid w:val="009E2B3C"/>
    <w:rsid w:val="009E33A4"/>
    <w:rsid w:val="009E39E9"/>
    <w:rsid w:val="009E4C54"/>
    <w:rsid w:val="009F0D17"/>
    <w:rsid w:val="009F19BD"/>
    <w:rsid w:val="009F2B42"/>
    <w:rsid w:val="009F5024"/>
    <w:rsid w:val="009F6B2B"/>
    <w:rsid w:val="00A010EB"/>
    <w:rsid w:val="00A036F2"/>
    <w:rsid w:val="00A03A99"/>
    <w:rsid w:val="00A03C63"/>
    <w:rsid w:val="00A12DC6"/>
    <w:rsid w:val="00A16983"/>
    <w:rsid w:val="00A17C33"/>
    <w:rsid w:val="00A208E7"/>
    <w:rsid w:val="00A21DCB"/>
    <w:rsid w:val="00A23022"/>
    <w:rsid w:val="00A25764"/>
    <w:rsid w:val="00A30B7C"/>
    <w:rsid w:val="00A30D36"/>
    <w:rsid w:val="00A36060"/>
    <w:rsid w:val="00A36601"/>
    <w:rsid w:val="00A419BA"/>
    <w:rsid w:val="00A43D0B"/>
    <w:rsid w:val="00A5140B"/>
    <w:rsid w:val="00A53479"/>
    <w:rsid w:val="00A54DE5"/>
    <w:rsid w:val="00A67512"/>
    <w:rsid w:val="00A706D6"/>
    <w:rsid w:val="00A71300"/>
    <w:rsid w:val="00A72655"/>
    <w:rsid w:val="00A729AA"/>
    <w:rsid w:val="00A7322F"/>
    <w:rsid w:val="00A74523"/>
    <w:rsid w:val="00A74A13"/>
    <w:rsid w:val="00A82A87"/>
    <w:rsid w:val="00A83401"/>
    <w:rsid w:val="00A85226"/>
    <w:rsid w:val="00A86FD9"/>
    <w:rsid w:val="00A9059C"/>
    <w:rsid w:val="00A927C9"/>
    <w:rsid w:val="00A94B72"/>
    <w:rsid w:val="00AA1EBA"/>
    <w:rsid w:val="00AA33A7"/>
    <w:rsid w:val="00AA39B8"/>
    <w:rsid w:val="00AA572A"/>
    <w:rsid w:val="00AA6802"/>
    <w:rsid w:val="00AA7121"/>
    <w:rsid w:val="00AC0D6C"/>
    <w:rsid w:val="00AC17BE"/>
    <w:rsid w:val="00AD2F09"/>
    <w:rsid w:val="00AD4446"/>
    <w:rsid w:val="00AD5D1E"/>
    <w:rsid w:val="00AD701A"/>
    <w:rsid w:val="00AE2D07"/>
    <w:rsid w:val="00AE6772"/>
    <w:rsid w:val="00AF2538"/>
    <w:rsid w:val="00AF3587"/>
    <w:rsid w:val="00AF6BE1"/>
    <w:rsid w:val="00B02209"/>
    <w:rsid w:val="00B02273"/>
    <w:rsid w:val="00B0256C"/>
    <w:rsid w:val="00B03110"/>
    <w:rsid w:val="00B04D20"/>
    <w:rsid w:val="00B05B3F"/>
    <w:rsid w:val="00B06C08"/>
    <w:rsid w:val="00B10B30"/>
    <w:rsid w:val="00B1239D"/>
    <w:rsid w:val="00B14716"/>
    <w:rsid w:val="00B1496B"/>
    <w:rsid w:val="00B23D07"/>
    <w:rsid w:val="00B25725"/>
    <w:rsid w:val="00B30361"/>
    <w:rsid w:val="00B30958"/>
    <w:rsid w:val="00B32483"/>
    <w:rsid w:val="00B3727E"/>
    <w:rsid w:val="00B4044E"/>
    <w:rsid w:val="00B4061B"/>
    <w:rsid w:val="00B45818"/>
    <w:rsid w:val="00B53C67"/>
    <w:rsid w:val="00B54149"/>
    <w:rsid w:val="00B54E12"/>
    <w:rsid w:val="00B62473"/>
    <w:rsid w:val="00B64919"/>
    <w:rsid w:val="00B67562"/>
    <w:rsid w:val="00B73E1F"/>
    <w:rsid w:val="00B7427C"/>
    <w:rsid w:val="00B75956"/>
    <w:rsid w:val="00B809E9"/>
    <w:rsid w:val="00B80D12"/>
    <w:rsid w:val="00B81E96"/>
    <w:rsid w:val="00B82EC0"/>
    <w:rsid w:val="00B83AF1"/>
    <w:rsid w:val="00B86D21"/>
    <w:rsid w:val="00B871E1"/>
    <w:rsid w:val="00B92229"/>
    <w:rsid w:val="00B938D7"/>
    <w:rsid w:val="00B95155"/>
    <w:rsid w:val="00B95A0E"/>
    <w:rsid w:val="00B96962"/>
    <w:rsid w:val="00BA6E95"/>
    <w:rsid w:val="00BB4382"/>
    <w:rsid w:val="00BC048C"/>
    <w:rsid w:val="00BC0AA4"/>
    <w:rsid w:val="00BC5454"/>
    <w:rsid w:val="00BD0A60"/>
    <w:rsid w:val="00BD1B6F"/>
    <w:rsid w:val="00BD270D"/>
    <w:rsid w:val="00BF59A6"/>
    <w:rsid w:val="00C02D5E"/>
    <w:rsid w:val="00C117DB"/>
    <w:rsid w:val="00C12754"/>
    <w:rsid w:val="00C12F15"/>
    <w:rsid w:val="00C141D6"/>
    <w:rsid w:val="00C24470"/>
    <w:rsid w:val="00C31BFF"/>
    <w:rsid w:val="00C40663"/>
    <w:rsid w:val="00C431E9"/>
    <w:rsid w:val="00C51BAC"/>
    <w:rsid w:val="00C53DBD"/>
    <w:rsid w:val="00C54F72"/>
    <w:rsid w:val="00C55353"/>
    <w:rsid w:val="00C56061"/>
    <w:rsid w:val="00C62A37"/>
    <w:rsid w:val="00C63451"/>
    <w:rsid w:val="00C63D5B"/>
    <w:rsid w:val="00C655AC"/>
    <w:rsid w:val="00C65FF5"/>
    <w:rsid w:val="00C661FE"/>
    <w:rsid w:val="00C728FA"/>
    <w:rsid w:val="00C768BD"/>
    <w:rsid w:val="00C76BA5"/>
    <w:rsid w:val="00C77F38"/>
    <w:rsid w:val="00C83402"/>
    <w:rsid w:val="00C8382A"/>
    <w:rsid w:val="00C84BD6"/>
    <w:rsid w:val="00C97B71"/>
    <w:rsid w:val="00CA4C90"/>
    <w:rsid w:val="00CA554A"/>
    <w:rsid w:val="00CA76E0"/>
    <w:rsid w:val="00CB0A2F"/>
    <w:rsid w:val="00CB1805"/>
    <w:rsid w:val="00CB1AB5"/>
    <w:rsid w:val="00CB315F"/>
    <w:rsid w:val="00CB3526"/>
    <w:rsid w:val="00CB5B19"/>
    <w:rsid w:val="00CC04D4"/>
    <w:rsid w:val="00CC076F"/>
    <w:rsid w:val="00CC11BE"/>
    <w:rsid w:val="00CC3371"/>
    <w:rsid w:val="00CC64D2"/>
    <w:rsid w:val="00CD0747"/>
    <w:rsid w:val="00CD7220"/>
    <w:rsid w:val="00CE21DB"/>
    <w:rsid w:val="00CE3245"/>
    <w:rsid w:val="00CE35C4"/>
    <w:rsid w:val="00CE3672"/>
    <w:rsid w:val="00CE7399"/>
    <w:rsid w:val="00CF0649"/>
    <w:rsid w:val="00CF430B"/>
    <w:rsid w:val="00CF6FCA"/>
    <w:rsid w:val="00D00F45"/>
    <w:rsid w:val="00D01A64"/>
    <w:rsid w:val="00D0561A"/>
    <w:rsid w:val="00D07C88"/>
    <w:rsid w:val="00D12F36"/>
    <w:rsid w:val="00D1310B"/>
    <w:rsid w:val="00D14F1F"/>
    <w:rsid w:val="00D15A82"/>
    <w:rsid w:val="00D1666F"/>
    <w:rsid w:val="00D21D49"/>
    <w:rsid w:val="00D23615"/>
    <w:rsid w:val="00D246A2"/>
    <w:rsid w:val="00D31181"/>
    <w:rsid w:val="00D35E17"/>
    <w:rsid w:val="00D35FA4"/>
    <w:rsid w:val="00D37CC1"/>
    <w:rsid w:val="00D40696"/>
    <w:rsid w:val="00D4089A"/>
    <w:rsid w:val="00D40A4D"/>
    <w:rsid w:val="00D46276"/>
    <w:rsid w:val="00D4753E"/>
    <w:rsid w:val="00D47B33"/>
    <w:rsid w:val="00D50F81"/>
    <w:rsid w:val="00D53909"/>
    <w:rsid w:val="00D62C91"/>
    <w:rsid w:val="00D6317C"/>
    <w:rsid w:val="00D6325D"/>
    <w:rsid w:val="00D6711E"/>
    <w:rsid w:val="00D70584"/>
    <w:rsid w:val="00D71A27"/>
    <w:rsid w:val="00D7319A"/>
    <w:rsid w:val="00D740F2"/>
    <w:rsid w:val="00D80C59"/>
    <w:rsid w:val="00D823DC"/>
    <w:rsid w:val="00D82F35"/>
    <w:rsid w:val="00D854B9"/>
    <w:rsid w:val="00D87503"/>
    <w:rsid w:val="00D91573"/>
    <w:rsid w:val="00D9215F"/>
    <w:rsid w:val="00D929BA"/>
    <w:rsid w:val="00DA0FE4"/>
    <w:rsid w:val="00DA2D55"/>
    <w:rsid w:val="00DA358F"/>
    <w:rsid w:val="00DA661E"/>
    <w:rsid w:val="00DA6EFE"/>
    <w:rsid w:val="00DB14EF"/>
    <w:rsid w:val="00DB180F"/>
    <w:rsid w:val="00DB2B4C"/>
    <w:rsid w:val="00DB605A"/>
    <w:rsid w:val="00DC1080"/>
    <w:rsid w:val="00DC7A18"/>
    <w:rsid w:val="00DD047F"/>
    <w:rsid w:val="00DD1085"/>
    <w:rsid w:val="00DD36B2"/>
    <w:rsid w:val="00DD532F"/>
    <w:rsid w:val="00DD53FD"/>
    <w:rsid w:val="00DD7E05"/>
    <w:rsid w:val="00DE471C"/>
    <w:rsid w:val="00DE5D30"/>
    <w:rsid w:val="00DF035C"/>
    <w:rsid w:val="00DF5A26"/>
    <w:rsid w:val="00DF610D"/>
    <w:rsid w:val="00E019F3"/>
    <w:rsid w:val="00E01C6C"/>
    <w:rsid w:val="00E02171"/>
    <w:rsid w:val="00E027F8"/>
    <w:rsid w:val="00E02DE8"/>
    <w:rsid w:val="00E050CF"/>
    <w:rsid w:val="00E064B0"/>
    <w:rsid w:val="00E1067F"/>
    <w:rsid w:val="00E139A8"/>
    <w:rsid w:val="00E248A0"/>
    <w:rsid w:val="00E248DF"/>
    <w:rsid w:val="00E34830"/>
    <w:rsid w:val="00E36EC0"/>
    <w:rsid w:val="00E40101"/>
    <w:rsid w:val="00E42EBC"/>
    <w:rsid w:val="00E44042"/>
    <w:rsid w:val="00E461B0"/>
    <w:rsid w:val="00E46689"/>
    <w:rsid w:val="00E50366"/>
    <w:rsid w:val="00E52BA8"/>
    <w:rsid w:val="00E5328F"/>
    <w:rsid w:val="00E549BA"/>
    <w:rsid w:val="00E64887"/>
    <w:rsid w:val="00E65D39"/>
    <w:rsid w:val="00E66F79"/>
    <w:rsid w:val="00E7079A"/>
    <w:rsid w:val="00E76C4B"/>
    <w:rsid w:val="00E76DFC"/>
    <w:rsid w:val="00E83D3A"/>
    <w:rsid w:val="00E94563"/>
    <w:rsid w:val="00EA0535"/>
    <w:rsid w:val="00EA23B3"/>
    <w:rsid w:val="00EA3C6B"/>
    <w:rsid w:val="00EA53FB"/>
    <w:rsid w:val="00EA6001"/>
    <w:rsid w:val="00EA6FF4"/>
    <w:rsid w:val="00EB01B4"/>
    <w:rsid w:val="00EB0A24"/>
    <w:rsid w:val="00EB0AE9"/>
    <w:rsid w:val="00EB3D32"/>
    <w:rsid w:val="00EB3FC4"/>
    <w:rsid w:val="00EB658C"/>
    <w:rsid w:val="00EC1342"/>
    <w:rsid w:val="00EC2459"/>
    <w:rsid w:val="00EC26FA"/>
    <w:rsid w:val="00EC72D4"/>
    <w:rsid w:val="00EC791D"/>
    <w:rsid w:val="00ED298B"/>
    <w:rsid w:val="00EE11C2"/>
    <w:rsid w:val="00EE1B05"/>
    <w:rsid w:val="00EE1C60"/>
    <w:rsid w:val="00EE4F79"/>
    <w:rsid w:val="00EE5177"/>
    <w:rsid w:val="00EE51EC"/>
    <w:rsid w:val="00EE61CA"/>
    <w:rsid w:val="00EF0CE8"/>
    <w:rsid w:val="00EF557E"/>
    <w:rsid w:val="00EF7BB6"/>
    <w:rsid w:val="00F026D2"/>
    <w:rsid w:val="00F040D3"/>
    <w:rsid w:val="00F05B11"/>
    <w:rsid w:val="00F12192"/>
    <w:rsid w:val="00F138DB"/>
    <w:rsid w:val="00F20112"/>
    <w:rsid w:val="00F21BE7"/>
    <w:rsid w:val="00F222C3"/>
    <w:rsid w:val="00F277D0"/>
    <w:rsid w:val="00F2787A"/>
    <w:rsid w:val="00F27AA9"/>
    <w:rsid w:val="00F31D11"/>
    <w:rsid w:val="00F33604"/>
    <w:rsid w:val="00F336BB"/>
    <w:rsid w:val="00F36133"/>
    <w:rsid w:val="00F37817"/>
    <w:rsid w:val="00F4110A"/>
    <w:rsid w:val="00F41D83"/>
    <w:rsid w:val="00F4202B"/>
    <w:rsid w:val="00F42877"/>
    <w:rsid w:val="00F46C9D"/>
    <w:rsid w:val="00F534B4"/>
    <w:rsid w:val="00F5665D"/>
    <w:rsid w:val="00F6031F"/>
    <w:rsid w:val="00F62578"/>
    <w:rsid w:val="00F65B70"/>
    <w:rsid w:val="00F678EC"/>
    <w:rsid w:val="00F67AD5"/>
    <w:rsid w:val="00F717BA"/>
    <w:rsid w:val="00F71DF7"/>
    <w:rsid w:val="00F7237E"/>
    <w:rsid w:val="00F73C47"/>
    <w:rsid w:val="00F751E7"/>
    <w:rsid w:val="00F815FD"/>
    <w:rsid w:val="00F85E1B"/>
    <w:rsid w:val="00F90484"/>
    <w:rsid w:val="00F91C77"/>
    <w:rsid w:val="00F97FB3"/>
    <w:rsid w:val="00FA2CA5"/>
    <w:rsid w:val="00FA564E"/>
    <w:rsid w:val="00FB112E"/>
    <w:rsid w:val="00FC39A0"/>
    <w:rsid w:val="00FC5528"/>
    <w:rsid w:val="00FC6D9B"/>
    <w:rsid w:val="00FC7F82"/>
    <w:rsid w:val="00FD06F8"/>
    <w:rsid w:val="00FD4763"/>
    <w:rsid w:val="00FD7BEC"/>
    <w:rsid w:val="00FE010E"/>
    <w:rsid w:val="00FE05D2"/>
    <w:rsid w:val="00FE1255"/>
    <w:rsid w:val="00FE1682"/>
    <w:rsid w:val="00FE40B0"/>
    <w:rsid w:val="00FE4ED3"/>
    <w:rsid w:val="00FE772D"/>
    <w:rsid w:val="00FF1A8C"/>
    <w:rsid w:val="00FF1CD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E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22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853"/>
    <w:pPr>
      <w:keepNext/>
      <w:spacing w:after="0" w:line="240" w:lineRule="auto"/>
      <w:jc w:val="center"/>
      <w:outlineLvl w:val="1"/>
    </w:pPr>
    <w:rPr>
      <w:rFonts w:ascii="Arial" w:eastAsia="Times New Roman" w:hAnsi="Arial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E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AF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rsid w:val="009A364C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9C25FB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9C25FB"/>
    <w:rPr>
      <w:rFonts w:eastAsia="Times New Roman"/>
      <w:kern w:val="28"/>
      <w:sz w:val="28"/>
    </w:rPr>
  </w:style>
  <w:style w:type="paragraph" w:styleId="3">
    <w:name w:val="Body Text Indent 3"/>
    <w:basedOn w:val="a"/>
    <w:rsid w:val="0015385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153853"/>
    <w:pPr>
      <w:spacing w:after="120" w:line="480" w:lineRule="auto"/>
      <w:ind w:left="283"/>
    </w:pPr>
  </w:style>
  <w:style w:type="paragraph" w:styleId="a8">
    <w:name w:val="Body Text"/>
    <w:basedOn w:val="a"/>
    <w:link w:val="a9"/>
    <w:rsid w:val="00153853"/>
    <w:pPr>
      <w:spacing w:after="120"/>
    </w:pPr>
  </w:style>
  <w:style w:type="paragraph" w:styleId="aa">
    <w:name w:val="Plain Text"/>
    <w:basedOn w:val="a"/>
    <w:rsid w:val="001538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b">
    <w:name w:val="Основной текст с отступом.Нумерованный список !!.Надин стиль"/>
    <w:basedOn w:val="a"/>
    <w:rsid w:val="00153853"/>
    <w:pPr>
      <w:tabs>
        <w:tab w:val="left" w:pos="8647"/>
      </w:tabs>
      <w:spacing w:after="0" w:line="240" w:lineRule="auto"/>
      <w:ind w:right="139" w:firstLine="567"/>
      <w:jc w:val="both"/>
    </w:pPr>
    <w:rPr>
      <w:rFonts w:eastAsia="Times New Roman"/>
      <w:kern w:val="28"/>
      <w:szCs w:val="20"/>
      <w:lang w:eastAsia="ru-RU"/>
    </w:rPr>
  </w:style>
  <w:style w:type="paragraph" w:customStyle="1" w:styleId="ConsNormal">
    <w:name w:val="ConsNormal"/>
    <w:rsid w:val="00153853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a9">
    <w:name w:val="Основной текст Знак"/>
    <w:basedOn w:val="a0"/>
    <w:link w:val="a8"/>
    <w:rsid w:val="009F5024"/>
    <w:rPr>
      <w:sz w:val="28"/>
      <w:szCs w:val="28"/>
      <w:lang w:eastAsia="en-US"/>
    </w:rPr>
  </w:style>
  <w:style w:type="character" w:customStyle="1" w:styleId="2Verdana">
    <w:name w:val="Основной текст (2) + Verdana"/>
    <w:aliases w:val="9 pt"/>
    <w:basedOn w:val="a0"/>
    <w:rsid w:val="009F5024"/>
    <w:rPr>
      <w:rFonts w:ascii="Verdana" w:hAnsi="Verdana" w:cs="Verdana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9F5024"/>
    <w:rPr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F5024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9F5024"/>
    <w:pPr>
      <w:widowControl w:val="0"/>
      <w:shd w:val="clear" w:color="auto" w:fill="FFFFFF"/>
      <w:spacing w:after="0" w:line="240" w:lineRule="atLeast"/>
      <w:outlineLvl w:val="0"/>
    </w:pPr>
    <w:rPr>
      <w:sz w:val="21"/>
      <w:szCs w:val="21"/>
      <w:lang w:eastAsia="ru-RU"/>
    </w:rPr>
  </w:style>
  <w:style w:type="paragraph" w:customStyle="1" w:styleId="23">
    <w:name w:val="Основной текст (2)"/>
    <w:basedOn w:val="a"/>
    <w:link w:val="22"/>
    <w:rsid w:val="009F5024"/>
    <w:pPr>
      <w:widowControl w:val="0"/>
      <w:shd w:val="clear" w:color="auto" w:fill="FFFFFF"/>
      <w:spacing w:after="0" w:line="234" w:lineRule="exact"/>
      <w:ind w:firstLine="700"/>
      <w:jc w:val="both"/>
    </w:pPr>
    <w:rPr>
      <w:sz w:val="21"/>
      <w:szCs w:val="21"/>
      <w:lang w:eastAsia="ru-RU"/>
    </w:rPr>
  </w:style>
  <w:style w:type="paragraph" w:customStyle="1" w:styleId="ConsPlusNormal">
    <w:name w:val="ConsPlusNormal"/>
    <w:rsid w:val="0000204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rsid w:val="00922D5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c">
    <w:name w:val="Основной текст + Малые прописные"/>
    <w:basedOn w:val="a9"/>
    <w:rsid w:val="00922D5E"/>
    <w:rPr>
      <w:rFonts w:cs="Verdana"/>
      <w:smallCaps/>
      <w:noProof/>
      <w:color w:val="000000"/>
      <w:sz w:val="28"/>
      <w:szCs w:val="28"/>
      <w:u w:val="none"/>
      <w:lang w:eastAsia="en-US"/>
    </w:rPr>
  </w:style>
  <w:style w:type="character" w:customStyle="1" w:styleId="9">
    <w:name w:val="Основной текст + 9"/>
    <w:aliases w:val="5 pt"/>
    <w:basedOn w:val="a9"/>
    <w:rsid w:val="00922D5E"/>
    <w:rPr>
      <w:rFonts w:cs="Verdana"/>
      <w:color w:val="000000"/>
      <w:sz w:val="19"/>
      <w:szCs w:val="19"/>
      <w:u w:val="none"/>
      <w:lang w:eastAsia="en-US"/>
    </w:rPr>
  </w:style>
  <w:style w:type="character" w:customStyle="1" w:styleId="ad">
    <w:name w:val="Основной текст + Курсив"/>
    <w:basedOn w:val="a9"/>
    <w:rsid w:val="00922D5E"/>
    <w:rPr>
      <w:rFonts w:ascii="Verdana" w:hAnsi="Verdana" w:cs="Verdana"/>
      <w:i/>
      <w:iCs/>
      <w:color w:val="000000"/>
      <w:sz w:val="18"/>
      <w:szCs w:val="18"/>
      <w:u w:val="none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122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No Spacing"/>
    <w:uiPriority w:val="1"/>
    <w:qFormat/>
    <w:rsid w:val="00296BDF"/>
    <w:rPr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6B550B"/>
    <w:pPr>
      <w:ind w:left="720"/>
      <w:contextualSpacing/>
    </w:pPr>
  </w:style>
  <w:style w:type="paragraph" w:styleId="24">
    <w:name w:val="Body Text 2"/>
    <w:basedOn w:val="a"/>
    <w:link w:val="25"/>
    <w:rsid w:val="00EE51EC"/>
    <w:pPr>
      <w:spacing w:after="120" w:line="480" w:lineRule="auto"/>
    </w:pPr>
    <w:rPr>
      <w:rFonts w:eastAsia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E51EC"/>
    <w:rPr>
      <w:rFonts w:eastAsia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2C093E"/>
    <w:rPr>
      <w:rFonts w:ascii="Arial" w:eastAsia="Times New Roman" w:hAnsi="Arial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39D4-F58E-4AB6-A2EB-93072CC4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10391</TotalTime>
  <Pages>13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35514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Ренат</dc:creator>
  <cp:keywords/>
  <dc:description/>
  <cp:lastModifiedBy>Кохась</cp:lastModifiedBy>
  <cp:revision>333</cp:revision>
  <cp:lastPrinted>2024-12-17T07:45:00Z</cp:lastPrinted>
  <dcterms:created xsi:type="dcterms:W3CDTF">2014-12-22T04:41:00Z</dcterms:created>
  <dcterms:modified xsi:type="dcterms:W3CDTF">2024-12-17T07:46:00Z</dcterms:modified>
</cp:coreProperties>
</file>